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9F43" w14:textId="77777777" w:rsidR="00646595" w:rsidRPr="007717F5" w:rsidRDefault="00646595" w:rsidP="00646595">
      <w:pPr>
        <w:pStyle w:val="Annexetitre"/>
        <w:spacing w:before="0"/>
        <w:ind w:firstLine="708"/>
        <w:rPr>
          <w:b w:val="0"/>
        </w:rPr>
      </w:pPr>
      <w:r>
        <w:t xml:space="preserve">ANNESS XII- Struzzjonijiet għad-divulgazzjonijiet tal-proporzjon ta’ ingranaġġ</w:t>
      </w:r>
      <w:r>
        <w:t xml:space="preserve"> </w:t>
      </w:r>
    </w:p>
    <w:p w14:paraId="69E09F44" w14:textId="77777777" w:rsidR="00646595" w:rsidRPr="007717F5" w:rsidRDefault="00646595" w:rsidP="00646595">
      <w:pPr>
        <w:pStyle w:val="Teksttreci20"/>
        <w:shd w:val="clear" w:color="auto" w:fill="auto"/>
        <w:spacing w:after="120" w:line="240" w:lineRule="auto"/>
        <w:jc w:val="both"/>
        <w:rPr>
          <w:sz w:val="24"/>
          <w:szCs w:val="24"/>
          <w:rFonts w:ascii="Times New Roman" w:hAnsi="Times New Roman" w:cs="Times New Roman"/>
        </w:rPr>
      </w:pPr>
      <w:bookmarkStart w:id="0" w:name="_DV_M1009"/>
      <w:bookmarkStart w:id="1" w:name="_DV_M1010"/>
      <w:bookmarkEnd w:id="0"/>
      <w:bookmarkEnd w:id="1"/>
    </w:p>
    <w:p w14:paraId="69E09F45" w14:textId="77777777" w:rsidR="00646595" w:rsidRPr="007717F5" w:rsidRDefault="00646595" w:rsidP="00646595">
      <w:pPr>
        <w:pStyle w:val="Teksttreci20"/>
        <w:shd w:val="clear" w:color="auto" w:fill="auto"/>
        <w:tabs>
          <w:tab w:val="left" w:pos="230"/>
        </w:tabs>
        <w:spacing w:after="120" w:line="240" w:lineRule="auto"/>
        <w:jc w:val="both"/>
        <w:rPr>
          <w:b w:val="0"/>
          <w:sz w:val="24"/>
          <w:szCs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Mudell EU LR1 - LRSum: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Rikonċiljazzjoni fil-qosor tal-assi kontabilistiċi u tal-iskoperturi tal-proporzjon ta’ ingranaġġ.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b w:val="0"/>
          <w:rFonts w:ascii="Times New Roman" w:hAnsi="Times New Roman"/>
        </w:rPr>
        <w:t xml:space="preserve">Mudell b’format fiss.</w:t>
      </w:r>
    </w:p>
    <w:p w14:paraId="69E09F46" w14:textId="77777777" w:rsidR="00646595" w:rsidRPr="007717F5" w:rsidRDefault="00646595" w:rsidP="00646595">
      <w:pPr>
        <w:pStyle w:val="ListParagraph"/>
        <w:numPr>
          <w:ilvl w:val="0"/>
          <w:numId w:val="6"/>
        </w:numPr>
        <w:spacing w:after="120"/>
        <w:ind w:left="426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japplikaw l-istruzzjonijiet ipprovduti f’din it-taqsima sabiex jimlew il-Mudell EU LR1 - LRSum b’applikazzjoni tal-punt (b) tal-Artikolu 451(1) tar-Regolament (UE) Nru 575/2013</w:t>
      </w:r>
      <w:r w:rsidRPr="007717F5">
        <w:rPr>
          <w:rStyle w:val="FootnoteReference"/>
          <w:rFonts w:ascii="Times New Roman" w:hAnsi="Times New Roman"/>
        </w:rPr>
        <w:footnoteReference w:id="2"/>
      </w:r>
      <w:r>
        <w:rPr>
          <w:sz w:val="24"/>
          <w:rFonts w:ascii="Times New Roman" w:hAnsi="Times New Roman"/>
        </w:rPr>
        <w:t xml:space="preserve"> (“CRR”).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12DE" w:rsidRPr="007717F5" w14:paraId="69E09F48" w14:textId="77777777" w:rsidTr="5E9D3914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09F47" w14:textId="77777777" w:rsidR="00646595" w:rsidRPr="007717F5" w:rsidRDefault="00646595" w:rsidP="00E9371F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2312DE" w:rsidRPr="007717F5" w14:paraId="69E09F4B" w14:textId="77777777" w:rsidTr="5E9D3914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9E09F49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9E09F4A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12DE" w:rsidRPr="007717F5" w14:paraId="69E09F4F" w14:textId="77777777" w:rsidTr="5E9D3914">
        <w:trPr>
          <w:trHeight w:val="1419"/>
        </w:trPr>
        <w:tc>
          <w:tcPr>
            <w:tcW w:w="1384" w:type="dxa"/>
            <w:vAlign w:val="center"/>
          </w:tcPr>
          <w:p w14:paraId="69E09F4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5" w:type="dxa"/>
          </w:tcPr>
          <w:p w14:paraId="69E09F4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Assi totali skont ir-rapporti finanzjarji pubblikati</w:t>
            </w:r>
          </w:p>
          <w:p w14:paraId="69E09F4E" w14:textId="50816C91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l-assi totali kif ippubblikati fir-rapporti finanzjarji skont il-qafas ta’ kontabilità applikabbli kif iddefinit fl-Artikolu 4(1), il-punt (77) tar-Regolament (UE) Nru 575/2013.</w:t>
            </w:r>
          </w:p>
        </w:tc>
      </w:tr>
      <w:tr w:rsidR="002312DE" w:rsidRPr="007717F5" w14:paraId="69E09F54" w14:textId="77777777" w:rsidTr="5E9D3914">
        <w:trPr>
          <w:trHeight w:val="2265"/>
        </w:trPr>
        <w:tc>
          <w:tcPr>
            <w:tcW w:w="1384" w:type="dxa"/>
            <w:vAlign w:val="center"/>
          </w:tcPr>
          <w:p w14:paraId="69E09F5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5" w:type="dxa"/>
          </w:tcPr>
          <w:p w14:paraId="69E09F5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Aġġustament għal entitajiet li huma konsolidati għal finijiet ta’ kontabilità iżda li huma barra mill-ambitu tal-konsolidament prudenzjali</w:t>
            </w:r>
          </w:p>
          <w:p w14:paraId="69E09F5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id-differenza fil-valur bejn il-kejl tal-iskopertura totali kif iddivulgat fir-ringiela 13 tal-mudell EU LR1 - LRSum u l-assi kontabilistiċi totali kif iddivulgati fir-ringiela 1 tal-mudell EU LR1 - LRSum, li jirriżultaw minn differenzi bejn l-ambitu kontabilistiku tal-konsolidament u l-ambitu tal-konsolidament prudenzjali.</w:t>
            </w:r>
          </w:p>
          <w:p w14:paraId="69E09F5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dan l-aġġustament iwassal għal żieda fl-iskopertura, l-istituzzjonijiet għandhom jiddivulgaw dan bħala ammont pożittiv.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dan l-aġġustament iwassal għal tnaqqis fl-iskopertura, l-istituzzjonijiet għandhom iqiegħdu l-valur f’din ir-ringiela bejn il-parentesi (ammont negattiv).</w:t>
            </w:r>
          </w:p>
        </w:tc>
      </w:tr>
      <w:tr w:rsidR="002312DE" w:rsidRPr="007717F5" w14:paraId="69E09F5A" w14:textId="77777777" w:rsidTr="5E9D3914">
        <w:trPr>
          <w:trHeight w:val="567"/>
        </w:trPr>
        <w:tc>
          <w:tcPr>
            <w:tcW w:w="1384" w:type="dxa"/>
            <w:vAlign w:val="center"/>
          </w:tcPr>
          <w:p w14:paraId="69E09F5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5" w:type="dxa"/>
          </w:tcPr>
          <w:p w14:paraId="69E09F5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 għal skoperturi titolizzati li jissodisfaw ir-rekwiżiti operazzjonali għar-rikonoxximent tat-trasferiment tar-riskju)</w:t>
            </w:r>
          </w:p>
          <w:p w14:paraId="69E09F57" w14:textId="102EE86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L-Artikolu 429a(1), il-punt (m) tar-Regolament (UE) Nru 575/2013.</w:t>
            </w:r>
          </w:p>
          <w:p w14:paraId="69E09F58" w14:textId="6396F394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tal-iskopertura</w:t>
            </w:r>
            <w:r>
              <w:rPr>
                <w:sz w:val="24"/>
                <w:i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titolizzati minn titolizzazzjonijiet tradizzjonali li jissodisfaw il-kundizzjonijiet għat-trasferiment tar-riskju sinifikanti stabbiliti fl-Artikolu 244(2) tar-Regolament (UE) Nru 575/2013.</w:t>
            </w:r>
          </w:p>
          <w:p w14:paraId="69E09F5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9F60" w14:textId="77777777" w:rsidTr="5E9D3914">
        <w:trPr>
          <w:trHeight w:val="850"/>
        </w:trPr>
        <w:tc>
          <w:tcPr>
            <w:tcW w:w="1384" w:type="dxa"/>
            <w:vAlign w:val="center"/>
          </w:tcPr>
          <w:p w14:paraId="69E09F5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5" w:type="dxa"/>
          </w:tcPr>
          <w:p w14:paraId="69E09F5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 għal eżenzjoni temporanja ta’ skoperturi għal banek ċentrali (jekk applikabbli))</w:t>
            </w:r>
          </w:p>
          <w:p w14:paraId="69E09F5D" w14:textId="215E052D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l-Artikolu 429a(1), il-punt (n) tar-</w:t>
            </w:r>
            <w:r>
              <w:rPr>
                <w:sz w:val="24"/>
                <w:b/>
                <w:rFonts w:ascii="Times New Roman" w:hAnsi="Times New Roman"/>
              </w:rPr>
              <w:t xml:space="preserve"> Regolament (UE) Nru 575/2013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.</w:t>
            </w:r>
          </w:p>
          <w:p w14:paraId="69E09F5E" w14:textId="2EF94E5D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Jekk applikabbli, l-istituzzjonijiet għandhom jiddivulgaw l-ammont ta’ muniti u ta’ karti tal-flus li jikkostitwixxu valuta legali fil-ġurisdizzjoni tal-bank ċentrali u tal-assi li jirrappreżentaw pretensjonijiet fuq il-bank ċentrali, inklużi r-riżervi miżmuma fil-bank ċentrali.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Dawn l-iskoperturi jistgħu jiġu eżentati b’mod temporanju soġġetti għall-kundizzjonijiet imsemmija fl-Artikolu 429a(5) u (6) tar-Regolament (UE) Nru 575/2013.</w:t>
            </w:r>
          </w:p>
          <w:p w14:paraId="69E09F5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 </w:t>
            </w:r>
          </w:p>
        </w:tc>
      </w:tr>
      <w:tr w:rsidR="002312DE" w:rsidRPr="007717F5" w14:paraId="69E09F65" w14:textId="77777777" w:rsidTr="5E9D3914">
        <w:trPr>
          <w:trHeight w:val="2265"/>
        </w:trPr>
        <w:tc>
          <w:tcPr>
            <w:tcW w:w="1384" w:type="dxa"/>
            <w:vAlign w:val="center"/>
          </w:tcPr>
          <w:p w14:paraId="69E09F6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5" w:type="dxa"/>
          </w:tcPr>
          <w:p w14:paraId="69E09F62" w14:textId="2D401669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 għall-assi fiduċjarji rikonoxxuti fil-karta bilanċjali skont il-qafas kontabilistiku applikabbli iżda eskluż mill-kejl tal-iskopertura totali f’konformità mal-Artikolu 429a(1), il-punt (i) tas-CRR)</w:t>
            </w:r>
          </w:p>
          <w:p w14:paraId="69E09F63" w14:textId="7111A0F2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ta’ elementi fiduċjarji dekontabilizzati f’konformità mal-Artikolu 429a(1), il-punt (i) tar-Regolament (UE) Nru 575/2013.</w:t>
            </w:r>
          </w:p>
          <w:p w14:paraId="69E09F6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9F6E" w14:textId="77777777" w:rsidTr="5E9D3914">
        <w:trPr>
          <w:trHeight w:val="1559"/>
        </w:trPr>
        <w:tc>
          <w:tcPr>
            <w:tcW w:w="1384" w:type="dxa"/>
            <w:vAlign w:val="center"/>
          </w:tcPr>
          <w:p w14:paraId="69E09F6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5" w:type="dxa"/>
          </w:tcPr>
          <w:p w14:paraId="69E09F6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Aġġustament għal bejgħ jew xiri mħallas fi żmien regolari ta’ assi finanzjarji soġġetti għal kontabilità skont id-data tan-negozju</w:t>
            </w:r>
          </w:p>
          <w:p w14:paraId="69E09F68" w14:textId="4C5850C9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429g(1) u (2) tar-Regolament (UE) Nru 575/2013.</w:t>
            </w:r>
          </w:p>
          <w:p w14:paraId="69E09F69" w14:textId="73200602" w:rsidR="00646595" w:rsidRPr="007717F5" w:rsidRDefault="00646595" w:rsidP="17C07D06">
            <w:pPr>
              <w:tabs>
                <w:tab w:val="left" w:pos="400"/>
              </w:tabs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l-aġġustament tal-valur kontabilistiku relatat ma’ xiri jew ma’ bejgħ imħallas fi żmien regolari b’saldu pendenti soġġetti għall-kontabilità skont id-data tan-negozju f’konformità mal-Artikolu 429g(1) u (2)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L-aġġustament huwa s-somma ta’:</w:t>
            </w:r>
          </w:p>
          <w:p w14:paraId="69E09F6A" w14:textId="77777777" w:rsidR="00646595" w:rsidRPr="007717F5" w:rsidRDefault="00646595" w:rsidP="00646595">
            <w:pPr>
              <w:pStyle w:val="ListParagraph"/>
              <w:numPr>
                <w:ilvl w:val="0"/>
                <w:numId w:val="7"/>
              </w:numPr>
              <w:spacing w:after="120"/>
              <w:contextualSpacing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paċut bejn ir-riċevibbli fi flus għal bejgħ imħallas fi żmien regolari b’saldu pendenti u l-ammonti pagabbli fi flus għal xiri mħallas fi żmien regolari b’saldu pendenti permessi skont il-qafas kontabilistiku.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huwa ammont pożittiv.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9F6B" w14:textId="2E937682" w:rsidR="00646595" w:rsidRPr="007717F5" w:rsidRDefault="00646595" w:rsidP="00646595">
            <w:pPr>
              <w:pStyle w:val="ListParagraph"/>
              <w:numPr>
                <w:ilvl w:val="0"/>
                <w:numId w:val="7"/>
              </w:numPr>
              <w:spacing w:after="120"/>
              <w:contextualSpacing/>
              <w:jc w:val="both"/>
              <w:rPr>
                <w:sz w:val="24"/>
                <w:szCs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paċut bejn ir-riċevibbli fi flus u l-ammonti pagabbli fi flus meta kemm il-bejgħ kif ukoll ix-xiri mħallsa fi żmien regolari relatati jiġu saldati fuq bażi ta’ konsenja kontra pagament f’konformità mal-Artikolu 429g(2)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huwa valur negattiv.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9F6C" w14:textId="6A3635C3" w:rsidR="00646595" w:rsidRPr="007717F5" w:rsidRDefault="00646595" w:rsidP="17C07D06">
            <w:pPr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Ix-xiri jew il-bejgħ imħallas fi żmien regolari b’saldu pendenti soġġetti għall-kontabbiltà skont id-data tas-saldu f’konformità mal-Artikolu 429g(3) tar-Regolament (UE) Nru 575/2013 għandu jiġi inkluż fir-ringiela 10 tal-Mudell EU LR1 - LRSum.</w:t>
            </w:r>
          </w:p>
          <w:p w14:paraId="69E09F6D" w14:textId="77777777" w:rsidR="00646595" w:rsidRPr="007717F5" w:rsidRDefault="00646595" w:rsidP="00E9371F">
            <w:pPr>
              <w:tabs>
                <w:tab w:val="left" w:pos="400"/>
              </w:tabs>
              <w:spacing w:after="120"/>
              <w:jc w:val="both"/>
              <w:rPr>
                <w:rStyle w:val="TeksttreciPogrubienie"/>
                <w:color w:val="auto"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dan l-aġġustament iwassal għal żieda fl-iskopertura, l-istituzzjonijiet għandhom jiddivulgaw dan bħala ammont pożittiv.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dan l-aġġustament iwassal għal tnaqqis fl-iskopertura, l-istituzzjonijiet għandhom iqiegħdu l-valur f’din ir-ringiela bejn il-parentesi (ammont negattiv).</w:t>
            </w:r>
          </w:p>
        </w:tc>
      </w:tr>
      <w:tr w:rsidR="002312DE" w:rsidRPr="007717F5" w14:paraId="69E09F74" w14:textId="77777777" w:rsidTr="5E9D3914">
        <w:trPr>
          <w:trHeight w:val="708"/>
        </w:trPr>
        <w:tc>
          <w:tcPr>
            <w:tcW w:w="1384" w:type="dxa"/>
            <w:vAlign w:val="center"/>
          </w:tcPr>
          <w:p w14:paraId="69E09F6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5" w:type="dxa"/>
          </w:tcPr>
          <w:p w14:paraId="69E09F7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Aġġustament għal tranżazzjonijiet ta’ ppuljar ta’ flus eliġibbli</w:t>
            </w:r>
          </w:p>
          <w:p w14:paraId="69E09F71" w14:textId="3CB96031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429b(2) u (3) tar-Regolament (UE) Nru 575/2013.</w:t>
            </w:r>
          </w:p>
          <w:p w14:paraId="69E09F72" w14:textId="2EAC1649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id-differenza bejn il-valur kontabilistiku u l-valur tal-iskopertura tal-proporzjon ta’ ingranaġġ tal-arranġamenti ta’ ppuljar ta’ flus f’konformità mal-kundizzjonijiet imsemmija fl-Artikolu 429b(2) u (3) tar-Regolament (UE) Nru 575/2013.</w:t>
            </w:r>
          </w:p>
          <w:p w14:paraId="69E09F73" w14:textId="165E1FDD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dan l-aġġustament iwassal għal żieda fl-iskopertura, minħabba tranżazzjonijiet li huma rrappreżentati netti skont il-qafas kontabilistiku applikabbli iżda li ma jissodisfawx il-kundizzjonijiet għall-preżentazzjoni netta skont l-Artikolu 429b(2) u (3) tar-Regolament (UE) Nru 575/2013, l-istituzzjonijiet għandhom jiddivulgaw dan bħala ammont pożittiv.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dan l-aġġustament iwassal għal tnaqqis fl-iskopertura, minħabba tranżazzjonijiet li mhumiex irrappreżentati netti skont il-qafas kontabilistiku applikabbli iżda li jissodisfaw il-kundizzjonijiet għall-preżentazzjoni netta skont l-Artikolu 429b(2) u (3) tar-Regolament (UE) Nru 575/2013, l-istituzzjonijiet għandhom iqiegħdu l-valur f’din ir-ringiela bejn il-parentesi (ammont negattiv).</w:t>
            </w:r>
          </w:p>
        </w:tc>
      </w:tr>
      <w:tr w:rsidR="002312DE" w:rsidRPr="007717F5" w14:paraId="69E09F79" w14:textId="77777777" w:rsidTr="5E9D3914">
        <w:trPr>
          <w:trHeight w:val="2265"/>
        </w:trPr>
        <w:tc>
          <w:tcPr>
            <w:tcW w:w="1384" w:type="dxa"/>
            <w:vAlign w:val="center"/>
          </w:tcPr>
          <w:p w14:paraId="69E09F7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5" w:type="dxa"/>
          </w:tcPr>
          <w:p w14:paraId="69E09F7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Aġġustament għal strumenti finanzjarji derivattivi</w:t>
            </w:r>
          </w:p>
          <w:p w14:paraId="69E09F77" w14:textId="0B4B1D18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derivattivi ta’ kreditu u kuntratti elenkati fl-Anness II tar-Regolament (UE) Nru 575/2013, l-istituzzjonijiet għandhom jiddivulgaw id-differenza fil-valur bejn il-valur kontabilistiku tad-derivattivi rikonoxxuti bħala assi u l-valur tal-iskopertura tal-proporzjon ta’ ingranaġġ kif iddeterminat bl-applikazzjoni tal-Artikolu punt (b), 429(4), l-Artikolu 429c, 429d, l-Artikolu 429a(1), il-punti (g) u (h) u tal-Artikolu 429(5) tar-Regolament (UE) Nru 575/2013.</w:t>
            </w:r>
          </w:p>
          <w:p w14:paraId="69E09F7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dan l-aġġustament iwassal għal żieda fl-iskopertura, l-istituzzjonijiet għandhom jiddivulgaw dan bħala ammont pożittiv.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dan l-aġġustament iwassal għal tnaqqis fl-iskopertura, l-istituzzjonijiet għandhom iqiegħdu l-valur f’din ir-ringiela bejn il-parentesi (ammont negattiv).</w:t>
            </w:r>
          </w:p>
        </w:tc>
      </w:tr>
      <w:tr w:rsidR="002312DE" w:rsidRPr="007717F5" w14:paraId="69E09F7E" w14:textId="77777777" w:rsidTr="5E9D3914">
        <w:trPr>
          <w:trHeight w:val="2265"/>
        </w:trPr>
        <w:tc>
          <w:tcPr>
            <w:tcW w:w="1384" w:type="dxa"/>
            <w:vAlign w:val="center"/>
          </w:tcPr>
          <w:p w14:paraId="69E09F7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5" w:type="dxa"/>
          </w:tcPr>
          <w:p w14:paraId="69E09F7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Aġġustament għal tranżazzjonijiet ta’ finanzjament tat-titoli (SFTs)</w:t>
            </w:r>
          </w:p>
          <w:p w14:paraId="69E09F7C" w14:textId="1160CBC6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Għall-SFTs, l-istituzzjonijiet għandhom jiddivulgaw id-differenza fil-valur bejn il-valur kontabilistiku tal-SFTs rikonoxxuti bħala assi u l-valur tal-iskopertura tal-proporzjon ta’ ingranaġġ kif iddeterminata bl-applikazzjoni tal-punti (a) u (c) tal-Artikolu 429(4) flimkien mal-Artikolu 429e, mal-punt (b) tal-Artikolu 429(7) u mal-punt (b) tal-Artikolu 429b(1), mal-Artikolu 429b(4), u mal-punti (g) u (h) tal-Artikolu 429a(1)tar-Regolament (UE) Nru 575/2013.</w:t>
            </w:r>
          </w:p>
          <w:p w14:paraId="69E09F7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dan l-aġġustament iwassal għal żieda fl-iskopertura, l-istituzzjonijiet għandhom jiddivulgaw dan bħala ammont pożittiv.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dan l-aġġustament iwassal għal tnaqqis fl-iskopertura, l-istituzzjonijiet għandhom iqiegħdu l-valur f’din ir-ringiela bejn il-parentesi (ammont negattiv).</w:t>
            </w:r>
          </w:p>
        </w:tc>
      </w:tr>
      <w:tr w:rsidR="002312DE" w:rsidRPr="007717F5" w14:paraId="69E09F84" w14:textId="77777777" w:rsidTr="5E9D3914">
        <w:trPr>
          <w:trHeight w:val="132"/>
        </w:trPr>
        <w:tc>
          <w:tcPr>
            <w:tcW w:w="1384" w:type="dxa"/>
            <w:vAlign w:val="center"/>
          </w:tcPr>
          <w:p w14:paraId="69E09F7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5" w:type="dxa"/>
          </w:tcPr>
          <w:p w14:paraId="69E09F8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Aġġustament għall-entrati li ma jidhrux fil-karta bilanċjali (jiġifieri konverżjoni għal ammonti ekwivalenti għal kreditu ta’ skoperturi li ma jidhrux fil-karta bilanċjali)</w:t>
            </w:r>
          </w:p>
          <w:p w14:paraId="69E09F8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id-differenza fil-valur bejn l-iskopertura tal-proporzjon ta’ ingranaġġ kif iddivulgata fir-ringiela 13 tal-mudell EU LR1 - LRSum u l-assi kontabilistiċi totali kif iddivulgati fir-ringiela 1 tal-mudell EU LR1 - LRSum li tirriżulta mill-inklużjoni ta’ entrati li ma jidhrux fil-karta bilanċjali fil-kejl tal-iskopertura totali tal-proporzjon ta’ ingranaġġ.</w:t>
            </w:r>
          </w:p>
          <w:p w14:paraId="69E09F82" w14:textId="497618B6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jinkludi l-impenji għall-ħlas relatati ma’ xiri mħallas fi żmien regolari permezz ta’ kontabbiltà skont id-data tas-saldu kif ikkalkolati f’konformità mal-Artikolu 429g(3) tar-Regolament (UE) Nru 575/2013.</w:t>
            </w:r>
          </w:p>
          <w:p w14:paraId="69E09F8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iżid il-kejl tal-iskopertura totali, dan għandu jiġi ddivulgat bħala ammont pożittiv.</w:t>
            </w:r>
          </w:p>
        </w:tc>
      </w:tr>
      <w:tr w:rsidR="002312DE" w:rsidRPr="007717F5" w14:paraId="69E09F89" w14:textId="77777777" w:rsidTr="5E9D3914">
        <w:trPr>
          <w:trHeight w:val="983"/>
        </w:trPr>
        <w:tc>
          <w:tcPr>
            <w:tcW w:w="1384" w:type="dxa"/>
            <w:vAlign w:val="center"/>
          </w:tcPr>
          <w:p w14:paraId="69E09F8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5" w:type="dxa"/>
          </w:tcPr>
          <w:p w14:paraId="69E09F8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 għal aġġustamenti prudenti tal-valwazzjoni u dispożizzjonijiet speċifiċi u ġenerali li naqqsu l-kapital tal-Grad 1)</w:t>
            </w:r>
          </w:p>
          <w:p w14:paraId="69E09F87" w14:textId="024D443A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shd w:val="clear" w:color="auto" w:fill="FFFFFF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L-istituzzjonijiet għandhom jiddivulgaw l-ammont ta’ aġġustamenti tal-valwazzjoni prudenti f’konformità mal-Artikolu 429a(1), il-punti (a) u (b) tar-Regolament (UE) Nru 575/2013 u l-</w:t>
            </w:r>
            <w:r>
              <w:rPr>
                <w:sz w:val="24"/>
                <w:rFonts w:ascii="Times New Roman" w:hAnsi="Times New Roman"/>
              </w:rPr>
              <w:t xml:space="preserve">ammont ta’ aġġustamenti speċifiċi (jekk rilevanti) u ġenerali għar-riskju ta’ kreditu għall-entrati fil-karta bilanċjali u li ma jidhrux fil-karta bilanċjali skont l-aħħar sentenza tal-Artikolu 429(4) u l-Artikolu 429f(2) 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tar-Regolament (UE) Nru 575/2013 li naqqsu l-kapital tal-Grad 1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Dispożizzjonijiet speċifiċi għandhom jiġu inklużi biss jekk, f’konformità mal-qafas kontabilistiku applikabbli, dawn ma jkunux diġà tnaqqsu mill-valuri tal-ammont riportat gross.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bookmarkStart w:id="2" w:name="_DV_M411"/>
            <w:bookmarkEnd w:id="2"/>
          </w:p>
          <w:p w14:paraId="69E09F8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9F8F" w14:textId="77777777" w:rsidTr="5E9D3914">
        <w:trPr>
          <w:trHeight w:val="2265"/>
        </w:trPr>
        <w:tc>
          <w:tcPr>
            <w:tcW w:w="1384" w:type="dxa"/>
            <w:vAlign w:val="center"/>
          </w:tcPr>
          <w:p w14:paraId="69E09F8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EU-11a</w:t>
            </w:r>
          </w:p>
        </w:tc>
        <w:tc>
          <w:tcPr>
            <w:tcW w:w="7655" w:type="dxa"/>
          </w:tcPr>
          <w:p w14:paraId="69E09F8B" w14:textId="4021AA4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 għall-iskoperturi esklużi mill-kejl tal-iskopertura totali f’konformità mal-punt (c) u l-punt (ca) tal-Artikolu 429a(1) CRR)</w:t>
            </w:r>
          </w:p>
          <w:p w14:paraId="69E09F8C" w14:textId="325E9E66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429a(1), il-punt (c) u l-punt (ca) u l-Artikolu 113(6) u (7) tar-Regolament (UE) Nru 575/2013.</w:t>
            </w:r>
          </w:p>
          <w:p w14:paraId="69E09F8D" w14:textId="6ACDE613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il-porzjon fil-karta bilanċjali tal-iskoperturi esklużi mill-kejl tal-iskopertura totali f’konformità mal-Artikolu 429a(1) il-punt (c) tar-Regolament (UE) Nru 575/2013.</w:t>
            </w:r>
          </w:p>
          <w:p w14:paraId="69E09F8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9F95" w14:textId="77777777" w:rsidTr="5E9D3914">
        <w:trPr>
          <w:trHeight w:val="2265"/>
        </w:trPr>
        <w:tc>
          <w:tcPr>
            <w:tcW w:w="1384" w:type="dxa"/>
            <w:vAlign w:val="center"/>
          </w:tcPr>
          <w:p w14:paraId="69E09F9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EU-11b</w:t>
            </w:r>
          </w:p>
        </w:tc>
        <w:tc>
          <w:tcPr>
            <w:tcW w:w="7655" w:type="dxa"/>
          </w:tcPr>
          <w:p w14:paraId="69E09F9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 għall-iskoperturi esklużi mill-kejl tal-iskopertura totali f’konformità mal-punt (j) tal-Artikolu 429a(1) tas-CRR</w:t>
            </w:r>
          </w:p>
          <w:p w14:paraId="69E09F92" w14:textId="42974785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429a(1), il-punt (j), l-Artikolu 116(4) tar-Regolament (UE) Nru 575/2013</w:t>
            </w:r>
          </w:p>
          <w:p w14:paraId="69E09F93" w14:textId="46A92283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il-porzjon fil-karta bilanċjali tal-iskoperturi esklużi mill-kejl tal-iskopertura totali f’konformità mal-Artikolu 429a(1), il-punt (j) tar-Regolament (UE) Nru 575/2013.</w:t>
            </w:r>
          </w:p>
          <w:p w14:paraId="69E09F9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l-valuri f’din ir-ringiela bejn il-parentesi (ammont negattiv).</w:t>
            </w:r>
          </w:p>
        </w:tc>
      </w:tr>
      <w:tr w:rsidR="002312DE" w:rsidRPr="007717F5" w14:paraId="69E09F9A" w14:textId="77777777" w:rsidTr="5E9D3914">
        <w:trPr>
          <w:trHeight w:val="2265"/>
        </w:trPr>
        <w:tc>
          <w:tcPr>
            <w:tcW w:w="1384" w:type="dxa"/>
            <w:vAlign w:val="center"/>
          </w:tcPr>
          <w:p w14:paraId="69E09F9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5" w:type="dxa"/>
          </w:tcPr>
          <w:p w14:paraId="69E09F9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bCs/>
                <w:sz w:val="24"/>
                <w:szCs w:val="24"/>
                <w:shd w:val="clear" w:color="auto" w:fill="FFFFFF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Aġġustamenti oħra</w:t>
            </w:r>
          </w:p>
          <w:p w14:paraId="69E09F98" w14:textId="126BA29D" w:rsidR="00646595" w:rsidRPr="007717F5" w:rsidRDefault="00646595" w:rsidP="4A50945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kwalunkwe differenza li jifdal fil-valur bejn il-kejl tal-iskopertura totali u l-assi kontabilistiċi totali.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jikkunsidraw l-</w:t>
            </w:r>
            <w:r>
              <w:rPr>
                <w:sz w:val="24"/>
                <w:rStyle w:val="TeksttreciPogrubienie"/>
                <w:color w:val="auto"/>
                <w:b w:val="0"/>
                <w:rFonts w:ascii="Times New Roman" w:hAnsi="Times New Roman"/>
              </w:rPr>
              <w:t xml:space="preserve">aġġustamenti tal-iskopertura 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 f’konformità mal-Artikolu 429(8) </w:t>
            </w:r>
            <w:r>
              <w:rPr>
                <w:sz w:val="24"/>
                <w:rFonts w:ascii="Times New Roman" w:hAnsi="Times New Roman"/>
              </w:rPr>
              <w:t xml:space="preserve">tar-Regolament (UE) Nru 575/2013 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 u aġġustamenti tal-iskopertura oħrajn imsemmija fl-Artikolu 429a(1)</w:t>
            </w:r>
            <w:r>
              <w:rPr>
                <w:sz w:val="24"/>
                <w:rStyle w:val="TeksttreciPogrubienie"/>
                <w:color w:val="auto"/>
                <w:b w:val="0"/>
                <w:rFonts w:ascii="Times New Roman" w:hAnsi="Times New Roman"/>
              </w:rPr>
              <w:t xml:space="preserve">,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TeksttreciPogrubienie"/>
                <w:color w:val="auto"/>
                <w:b w:val="0"/>
                <w:rFonts w:ascii="Times New Roman" w:hAnsi="Times New Roman"/>
              </w:rPr>
              <w:t xml:space="preserve"> il-punti (ca), (d), (da) (e), (f), (h), (k), (l), (o), (p), (q) tar-</w:t>
            </w:r>
            <w:r>
              <w:rPr>
                <w:sz w:val="24"/>
                <w:rFonts w:ascii="Times New Roman" w:hAnsi="Times New Roman"/>
              </w:rPr>
              <w:t xml:space="preserve">Regolament (UE) Nru 575/2013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li ma huma ddivulgati imkien ieħor fil-mudell.</w:t>
            </w:r>
          </w:p>
          <w:p w14:paraId="69E09F9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dawn l-aġġustamenti jwasslu għal żieda fl-iskopertura, l-istituzzjonijiet għandhom jiddivulgaw dan bħala ammont pożittiv.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dawn l-aġġustamenti jwasslu għal tnaqqis fl-iskopertura, l-istituzzjonijiet għandhom iqiegħdu l-valur f’din ir-ringiela bejn il-parentesi (ammont negattiv).</w:t>
            </w:r>
          </w:p>
        </w:tc>
      </w:tr>
      <w:tr w:rsidR="00646595" w:rsidRPr="007717F5" w14:paraId="69E09F9E" w14:textId="77777777" w:rsidTr="5E9D3914">
        <w:trPr>
          <w:trHeight w:val="1015"/>
        </w:trPr>
        <w:tc>
          <w:tcPr>
            <w:tcW w:w="1384" w:type="dxa"/>
            <w:vAlign w:val="center"/>
          </w:tcPr>
          <w:p w14:paraId="69E09F9B" w14:textId="77777777" w:rsidR="00646595" w:rsidRPr="007717F5" w:rsidRDefault="00646595" w:rsidP="00E9371F">
            <w:pPr>
              <w:pStyle w:val="Applicationdirecte"/>
              <w:spacing w:before="0"/>
              <w:jc w:val="center"/>
            </w:pPr>
            <w:r>
              <w:t xml:space="preserve">13</w:t>
            </w:r>
          </w:p>
        </w:tc>
        <w:tc>
          <w:tcPr>
            <w:tcW w:w="7655" w:type="dxa"/>
          </w:tcPr>
          <w:p w14:paraId="69E09F9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Il-kejl tal-iskopertura totali</w:t>
            </w:r>
          </w:p>
          <w:p w14:paraId="69E09F9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Il-kejl tal-iskopertura totali (iddivulgat ukoll fir-ringiela 24 tal-mudell EU LR2 - LRCom), li huwa s-somma tal-entrati preċedenti.</w:t>
            </w:r>
          </w:p>
        </w:tc>
      </w:tr>
    </w:tbl>
    <w:p w14:paraId="69E09F9F" w14:textId="77777777" w:rsidR="00646595" w:rsidRPr="007717F5" w:rsidRDefault="00646595" w:rsidP="00646595">
      <w:pPr>
        <w:spacing w:after="120"/>
        <w:rPr>
          <w:rFonts w:ascii="Times New Roman" w:hAnsi="Times New Roman" w:cs="Times New Roman"/>
          <w:sz w:val="24"/>
        </w:rPr>
      </w:pPr>
    </w:p>
    <w:p w14:paraId="69E09FA0" w14:textId="77777777" w:rsidR="00646595" w:rsidRPr="007717F5" w:rsidRDefault="00646595" w:rsidP="00646595">
      <w:pPr>
        <w:pStyle w:val="Nagwek10"/>
        <w:keepNext/>
        <w:keepLines/>
        <w:shd w:val="clear" w:color="auto" w:fill="auto"/>
        <w:tabs>
          <w:tab w:val="left" w:pos="408"/>
        </w:tabs>
        <w:spacing w:after="120" w:line="240" w:lineRule="auto"/>
        <w:jc w:val="left"/>
        <w:rPr>
          <w:b w:val="0"/>
          <w:sz w:val="24"/>
          <w:szCs w:val="24"/>
          <w:rFonts w:ascii="Times New Roman" w:hAnsi="Times New Roman" w:cs="Times New Roman"/>
        </w:rPr>
      </w:pPr>
      <w:bookmarkStart w:id="3" w:name="bookmark12"/>
      <w:r>
        <w:rPr>
          <w:sz w:val="24"/>
          <w:rFonts w:ascii="Times New Roman" w:hAnsi="Times New Roman"/>
        </w:rPr>
        <w:t xml:space="preserve">Mudell EULR2 - LRCom: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Divulgazzjoni komuni tal-proporzjon ta’ ingranaġġ</w:t>
      </w:r>
      <w:bookmarkEnd w:id="3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b w:val="0"/>
          <w:rFonts w:ascii="Times New Roman" w:hAnsi="Times New Roman"/>
        </w:rPr>
        <w:t xml:space="preserve">Mudell b’format fiss</w:t>
      </w:r>
    </w:p>
    <w:p w14:paraId="69E09FA1" w14:textId="09225CB4" w:rsidR="00646595" w:rsidRPr="007717F5" w:rsidRDefault="00646595" w:rsidP="00646595">
      <w:pPr>
        <w:pStyle w:val="ListParagraph"/>
        <w:numPr>
          <w:ilvl w:val="0"/>
          <w:numId w:val="6"/>
        </w:numPr>
        <w:spacing w:after="120"/>
        <w:ind w:left="426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japplikaw l-istruzzjonijiet ipprovduti f’din it-taqsima sabiex jimlew il-Mudell EU LR2 - LRCom b’applikazzjoni tal-Artikolu 451(1), il-punti (a) u (b) tar-Regolament (UE) Nru 575/2013 u tal-Artikolu 451(3) tar-Regolament (UE) Nru 575/2013, filwaqt li jqisu, fejn applikabbli, l-Artikolu 451(1) il-punt (c) u l-Artikolu 451(2) tar-Regolament (UE) Nru 575/2013.</w:t>
      </w:r>
    </w:p>
    <w:p w14:paraId="69E09FA2" w14:textId="77777777" w:rsidR="00646595" w:rsidRPr="007717F5" w:rsidRDefault="00646595" w:rsidP="00646595">
      <w:pPr>
        <w:pStyle w:val="ListParagraph"/>
        <w:numPr>
          <w:ilvl w:val="0"/>
          <w:numId w:val="6"/>
        </w:numPr>
        <w:spacing w:after="120"/>
        <w:ind w:left="426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Fil-kolonna “a”, l-istituzzjonijiet għandhom jiddivulgaw il-valuri tar-ringieli differenti għall-perjodu ta’ divulgazzjoni u fil-kolonna “b” il-valuri tar-ringieli għall-perjodu ta’ divulgazzjoni preċedenti.</w:t>
      </w:r>
    </w:p>
    <w:p w14:paraId="69E09FA3" w14:textId="77777777" w:rsidR="00646595" w:rsidRPr="007717F5" w:rsidRDefault="00646595" w:rsidP="00646595">
      <w:pPr>
        <w:pStyle w:val="ListParagraph"/>
        <w:numPr>
          <w:ilvl w:val="0"/>
          <w:numId w:val="6"/>
        </w:numPr>
        <w:spacing w:after="120"/>
        <w:ind w:left="426"/>
        <w:jc w:val="both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Fin-narrattiva li takkumpanja l-mudell, l-istituzzjonijiet għandhom jispjegaw il-kompożizzjoni tas-self promozzjonali ddivulgat fir-ringieli EU-22d u EU-22e ta’ dan il-mudell, inkluża informazzjoni skont it-tip ta’ kontroparti.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7659"/>
      </w:tblGrid>
      <w:tr w:rsidR="002312DE" w:rsidRPr="007717F5" w14:paraId="69E09FA5" w14:textId="77777777" w:rsidTr="009F3999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09FA4" w14:textId="77777777" w:rsidR="00646595" w:rsidRPr="007717F5" w:rsidRDefault="00646595" w:rsidP="00E9371F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2312DE" w:rsidRPr="007717F5" w14:paraId="69E09FA8" w14:textId="77777777" w:rsidTr="009F3999">
        <w:trPr>
          <w:trHeight w:val="238"/>
        </w:trPr>
        <w:tc>
          <w:tcPr>
            <w:tcW w:w="1380" w:type="dxa"/>
            <w:shd w:val="clear" w:color="auto" w:fill="D9D9D9" w:themeFill="background1" w:themeFillShade="D9"/>
          </w:tcPr>
          <w:p w14:paraId="69E09FA6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9" w:type="dxa"/>
            <w:shd w:val="clear" w:color="auto" w:fill="D9D9D9" w:themeFill="background1" w:themeFillShade="D9"/>
          </w:tcPr>
          <w:p w14:paraId="69E09FA7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12DE" w:rsidRPr="007717F5" w14:paraId="69E09FB0" w14:textId="77777777" w:rsidTr="009F3999">
        <w:trPr>
          <w:trHeight w:val="708"/>
        </w:trPr>
        <w:tc>
          <w:tcPr>
            <w:tcW w:w="1380" w:type="dxa"/>
            <w:vAlign w:val="center"/>
          </w:tcPr>
          <w:p w14:paraId="69E09FA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</w:t>
            </w:r>
          </w:p>
        </w:tc>
        <w:tc>
          <w:tcPr>
            <w:tcW w:w="7659" w:type="dxa"/>
          </w:tcPr>
          <w:p w14:paraId="69E09FA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Entrati li jidhru fil-karta bilanċjali (esklużi d-derivattivi, l-SFTs, iżda inkluż il-kollateral)</w:t>
            </w:r>
          </w:p>
          <w:p w14:paraId="69E09FAB" w14:textId="064B1AF8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 u 429b tar-Regolament (UE) Nru 575/2013.</w:t>
            </w:r>
          </w:p>
          <w:p w14:paraId="69E09FAC" w14:textId="2B7C8E1E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l-assi kollha, minbarra l-kuntratti elenkati fl-Anness II tar-Regolament (UE) Nru 575/2013, id-derivattivi ta’ kreditu, u l-SFTs.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jibbażaw il-valwazzjoni ta’ dawn l-assi fuq il-prinċipji stabbiliti fl-Artikolu 429(7) u 429b(1)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9FAD" w14:textId="073853EA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iqisu f’dan il-kalkolu, jekk applikabbli, l-Artikolu 429a(1), il-punti (i), (m) u (n) tar-Regolament (UE) Nru 575/2013, l-Artikolu 429g u l-aħħar paragrafu tal-Artikolu 429(4)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9FA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għandhom jinkludu l-flus riċevuti jew kwalunkwe titolu li jiġi pprovdut lil kontroparti permezz ta’ SFTs u li jinżamm fil-karta bilanċjali (jiġifieri l-kriterji kontabilistiċi għad-dekontabilizzar skont il-qafas kontabilistiku applikabbli ma jkunux issodisfati).</w:t>
            </w:r>
          </w:p>
          <w:p w14:paraId="69E09FAF" w14:textId="3D7CA3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ma għandhomx iqisu f’dan il-kalkolu l-Artikolu 429(8) u l-Artikolu 429a(1), il-punti (a)-(h), (j) u (k) tar-Regolament (UE) Nru 575/2013, jiġifieri ma għandhomx inaqqsu l-ammont li għandu jiġi ddivulgat f’din ir-ringiela b’dawk l-eżenzjonijiet.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12DE" w:rsidRPr="007717F5" w14:paraId="69E09FB6" w14:textId="77777777" w:rsidTr="009F3999">
        <w:trPr>
          <w:trHeight w:val="708"/>
        </w:trPr>
        <w:tc>
          <w:tcPr>
            <w:tcW w:w="1380" w:type="dxa"/>
            <w:vAlign w:val="center"/>
          </w:tcPr>
          <w:p w14:paraId="69E09FB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</w:t>
            </w:r>
          </w:p>
        </w:tc>
        <w:tc>
          <w:tcPr>
            <w:tcW w:w="7659" w:type="dxa"/>
          </w:tcPr>
          <w:p w14:paraId="69E09FB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L-ingrossar għall-kollateral tad-derivattivi pprovdut, meta mnaqqas mill-assi tal-karta bilanċjali skont il-qafas ta’ kontabilità applikabbli</w:t>
            </w:r>
          </w:p>
          <w:p w14:paraId="69E09FB3" w14:textId="7197DA61" w:rsidR="00646595" w:rsidRPr="002B7F3A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Artikolu 429c(2) tar-Regolament (UE) Nru 575/2013.</w:t>
            </w:r>
          </w:p>
          <w:p w14:paraId="69E09FB4" w14:textId="69A1A662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ta’ kull kollateral tad-derivattivi pprovdut meta l-allokazzjoni ta’ dak il-kollateral tnaqqas l-ammont ta’ assi skont il-qafas ta’ kontabilità applikabbli, kif stabbilit fl-Artikolu 429c(2) tar-Regolament (UE) Nru 575/2013.</w:t>
            </w:r>
          </w:p>
          <w:p w14:paraId="69E09FB5" w14:textId="7978F436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ma għandhomx jinkludu l-marġni inizjali għat-tranżazzjoni tad-derivattivi kklirjati għall-klijenti b’CCP li jikkwalifika (QCCP) jew marġni eliġibbli ta’ varjazzjoni fi flus f’din iċ-ċellola, kif iddefinit fl-Artikolu 429c(3) tar-Regolament (UE) Nru 575/2013.</w:t>
            </w:r>
          </w:p>
        </w:tc>
      </w:tr>
      <w:tr w:rsidR="002312DE" w:rsidRPr="007717F5" w14:paraId="69E09FBC" w14:textId="77777777" w:rsidTr="009F3999">
        <w:trPr>
          <w:trHeight w:val="708"/>
        </w:trPr>
        <w:tc>
          <w:tcPr>
            <w:tcW w:w="1380" w:type="dxa"/>
            <w:vAlign w:val="center"/>
          </w:tcPr>
          <w:p w14:paraId="69E09FB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</w:t>
            </w:r>
          </w:p>
        </w:tc>
        <w:tc>
          <w:tcPr>
            <w:tcW w:w="7659" w:type="dxa"/>
          </w:tcPr>
          <w:p w14:paraId="69E09FB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(Tnaqqis ta’ assi riċevibbli għall-marġni eliġibbli ta’ varjazzjoni fi flus ipprovduti fit-tranżazzjonijiet tad-derivattivi)</w:t>
            </w:r>
          </w:p>
          <w:p w14:paraId="69E09FB9" w14:textId="303DAA10" w:rsidR="00646595" w:rsidRPr="002B7F3A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Artikolu 429c(3) tar-Regolament (UE) Nru 575/2013.</w:t>
            </w:r>
          </w:p>
          <w:p w14:paraId="69E09FBA" w14:textId="6E7AC669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ir-riċevibbli għall-marġni tal-varjazzjoni mħallsa fi flus lill-kontroparti fi tranżazzjonijiet ta’ derivattivi jekk l-istituzzjoni tkun meħtieġa, skont il-qafas kontabilistiku applikabbli, tirrikonoxxi dawn ir-riċevibbli bħala assi, dment li jkunu ssodisfati l-kundizzjonijiet fl-Artikolu 429c(3)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sz w:val="24"/>
                <w:rFonts w:ascii="Times New Roman" w:hAnsi="Times New Roman"/>
              </w:rPr>
              <w:t xml:space="preserve">il-punti (a) sa (e) tar-Regolament (UE) Nru 575/2013.</w:t>
            </w:r>
          </w:p>
          <w:p w14:paraId="69E09FB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9FC1" w14:textId="77777777" w:rsidTr="009F3999">
        <w:trPr>
          <w:trHeight w:val="1417"/>
        </w:trPr>
        <w:tc>
          <w:tcPr>
            <w:tcW w:w="1380" w:type="dxa"/>
            <w:vAlign w:val="center"/>
          </w:tcPr>
          <w:p w14:paraId="69E09FB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4</w:t>
            </w:r>
          </w:p>
        </w:tc>
        <w:tc>
          <w:tcPr>
            <w:tcW w:w="7659" w:type="dxa"/>
          </w:tcPr>
          <w:p w14:paraId="69E09FB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 għal titoli riċevuti taħt tranżazzjonijiet ta’ finanzjament tat-titoli li huma rikonoxxuti bħala assi)</w:t>
            </w:r>
          </w:p>
          <w:p w14:paraId="69E09FBF" w14:textId="771A8A6D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Aġġustament għat-titoli riċevuti taħt tranżazzjoni ta’ finanzjament tat-titoli meta l-bank ikun irrikonoxxa t-titoli bħala assi fil-karta bilanċjali tiegħu.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Dawn l-ammonti għandhom jiġu esklużi mill-kejl tal-iskopertura totali f’konformità mal-Artikolu 429e(6)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.</w:t>
            </w:r>
          </w:p>
          <w:p w14:paraId="69E09FC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Peress li l-aġġustamenti f’din ir-ringiela jnaqqsu l-kejl tal-iskopertura totali, l-istituzzjonijiet għandhom iqiegħdu l-valur f’din ir-ringiela bejn il-parentesi (ammont negattiv).</w:t>
            </w:r>
          </w:p>
        </w:tc>
      </w:tr>
      <w:tr w:rsidR="002312DE" w:rsidRPr="007717F5" w14:paraId="69E09FC6" w14:textId="77777777" w:rsidTr="009F3999">
        <w:trPr>
          <w:trHeight w:val="1417"/>
        </w:trPr>
        <w:tc>
          <w:tcPr>
            <w:tcW w:w="1380" w:type="dxa"/>
            <w:vAlign w:val="center"/>
          </w:tcPr>
          <w:p w14:paraId="69E09FC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5</w:t>
            </w:r>
          </w:p>
        </w:tc>
        <w:tc>
          <w:tcPr>
            <w:tcW w:w="7659" w:type="dxa"/>
          </w:tcPr>
          <w:p w14:paraId="69E09FC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(Aġġustamenti ġenerali għar-riskju ta’ kreditu għal entrati li jidhru fil-karta bilanċjali)</w:t>
            </w:r>
          </w:p>
          <w:p w14:paraId="69E09FC4" w14:textId="036EEABA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L-ammont ta’ aġġustamenti ġenerali għar-riskju ta’ kreditu li jikkorrispondu għall-entrati fil-karta bilanċjali msemmija fl-Artikolu 429(4), il-punt (a) tar-</w:t>
            </w:r>
            <w:r>
              <w:rPr>
                <w:sz w:val="24"/>
                <w:rFonts w:ascii="Times New Roman" w:hAnsi="Times New Roman"/>
              </w:rPr>
              <w:t xml:space="preserve"> Regolament (UE) Nru 575/2013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, li l-istituzzjonijiet inaqqsu f’konformità mal-aħħar paragrafu tal-Artikolu 429(4)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.</w:t>
            </w:r>
          </w:p>
          <w:p w14:paraId="69E09FC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Peress li l-aġġustamenti f’din ir-ringiela jnaqqsu l-kejl tal-iskopertura totali, l-istituzzjonijiet għandhom iqiegħdu l-valur f’din ir-ringiela bejn il-parentesi (ammont negattiv).</w:t>
            </w:r>
          </w:p>
        </w:tc>
      </w:tr>
      <w:tr w:rsidR="002312DE" w:rsidRPr="007717F5" w14:paraId="69E09FD3" w14:textId="77777777" w:rsidTr="009F3999">
        <w:trPr>
          <w:trHeight w:val="1417"/>
        </w:trPr>
        <w:tc>
          <w:tcPr>
            <w:tcW w:w="1380" w:type="dxa"/>
            <w:vAlign w:val="center"/>
          </w:tcPr>
          <w:p w14:paraId="69E09FC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6</w:t>
            </w:r>
          </w:p>
        </w:tc>
        <w:tc>
          <w:tcPr>
            <w:tcW w:w="7659" w:type="dxa"/>
          </w:tcPr>
          <w:p w14:paraId="69E09FC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(Ammonti tal-assi mnaqqsa għad-determinazzjoni tal-kapital tal-Grad 1)</w:t>
            </w:r>
          </w:p>
          <w:p w14:paraId="69E09FC9" w14:textId="2764D6D4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429a(1), il-punti (a) u (b) u l-Artikolu 499(2) tar-Regolament (UE) Nru 575/2013</w:t>
            </w:r>
          </w:p>
          <w:p w14:paraId="69E09FCA" w14:textId="62925369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ta’ aġġustamenti fil-valur regolatorju magħmula fl-ammonti tal-Grad 1 f’konformità mal-għażla magħmula skont l-Artikolu 499(2) tar-Regolament (UE) Nru 575/2013.</w:t>
            </w:r>
          </w:p>
          <w:p w14:paraId="69E09FC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B’mod aktar speċifiku, l-istituzzjonijiet għandhom jiddivulgaw il-valur tas-somma tal-aġġustamenti kollha li jimmiraw il-valur ta’ assi u li huma meħtieġa minn:</w:t>
            </w:r>
          </w:p>
          <w:p w14:paraId="69E09FCC" w14:textId="2296DF87" w:rsidR="00646595" w:rsidRPr="007717F5" w:rsidRDefault="00646595" w:rsidP="00646595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32 sa 35 tar-Regolament (UE) Nru 575/2013, jew</w:t>
            </w:r>
          </w:p>
          <w:p w14:paraId="69E09FCD" w14:textId="110A059A" w:rsidR="00646595" w:rsidRPr="007717F5" w:rsidRDefault="00646595" w:rsidP="00646595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36 sa 47 tar-Regolament (UE) Nru 575/2013, jew</w:t>
            </w:r>
          </w:p>
          <w:p w14:paraId="69E09FCE" w14:textId="4885AA54" w:rsidR="00646595" w:rsidRPr="007717F5" w:rsidRDefault="00646595" w:rsidP="00646595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56 sa 60 tar-Regolament (UE) Nru 575/2013, kif applikabbli.</w:t>
            </w:r>
          </w:p>
          <w:p w14:paraId="69E09FCF" w14:textId="3091D18A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f’din iċ-ċellola l-ammont imsemmi fl-Artikolu 429a(1), il-punt (a) tar-Regolament (UE) Nru 575/2013.</w:t>
            </w:r>
          </w:p>
          <w:p w14:paraId="69E09FD0" w14:textId="2673D57E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l-għażla li jkun iddivulgat il-kapital tal-Grad 1 issir f’konformità mal-Artikolu 499(1), il-punt(a) tar-Regolament (UE) Nru 575/2013, l-istituzzjonijiet għandhom iqisu l-eżenzjonijiet, l-alternattivi u r-rinunzji għal tali tnaqqis stipulati fl-Artikoli 48, 49 u 79 tar-Regolament (UE) Nru 575/2013, mingħajr ma jqisu d-deroga stipulata fil-Kapitoli 1 u 2 tat-Titolu I tal-Parti 10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Kuntrarjament, meta l-għażla li jkun iddivulgat il-kapital tal-Grad 1 issir f’konformità mal-Artikolu 499(1), il-punt (b) tar-Regolament (UE) Nru 575/2013, l-istituzzjonijiet għandhom iqisu l-eżenzjonijiet, l-alternattivi u r-rinunzji għal tali tnaqqis stipulati fl-Artikoli 48, 49 u 79 tar-Regolament (UE) Nru 575/2013, barra li jqisu d-derogi stabbiliti fil-Kapitoli 1 u 2 tat-Titolu I tal-Parti 10 tar-Regolament (UE) Nru 575/2013.</w:t>
            </w:r>
          </w:p>
          <w:p w14:paraId="69E09FD1" w14:textId="44D219FD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Sabiex jevitaw għadd doppju, l-istituzzjonijiet ma għandhomx jiddivulgaw aġġustamenti diġà applikati skont l-Artikolu 111 tar-Regolament (UE) Nru 575/2013 meta jikkalkolaw il-valur tal-iskopertura, u lanqas ma għandhom jiddivulgaw xi aġġustament li ma jnaqqasx il-valur ta’ assi speċifiku.</w:t>
            </w:r>
          </w:p>
          <w:p w14:paraId="69E09FD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Billi l-ammont f’din ir-ringiela jnaqqas il-kejl tal-iskopertura totali</w:t>
            </w:r>
            <w:r>
              <w:rPr>
                <w:sz w:val="24"/>
                <w:rFonts w:ascii="Times New Roman" w:hAnsi="Times New Roman"/>
              </w:rPr>
              <w:t xml:space="preserve">, l-istituzzjonijiet għandhom iqiegħdu l-valur f’din iċ-ċellola bejn il-parentesi (ammont negattiv).</w:t>
            </w:r>
          </w:p>
        </w:tc>
      </w:tr>
      <w:tr w:rsidR="002312DE" w:rsidRPr="007717F5" w14:paraId="69E09FD7" w14:textId="77777777" w:rsidTr="009F3999">
        <w:trPr>
          <w:trHeight w:val="694"/>
        </w:trPr>
        <w:tc>
          <w:tcPr>
            <w:tcW w:w="1380" w:type="dxa"/>
            <w:vAlign w:val="center"/>
          </w:tcPr>
          <w:p w14:paraId="69E09FD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7</w:t>
            </w:r>
          </w:p>
        </w:tc>
        <w:tc>
          <w:tcPr>
            <w:tcW w:w="7659" w:type="dxa"/>
          </w:tcPr>
          <w:p w14:paraId="69E09FD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totali fil-karta bilanċjali (esklużi d-derivattivi u l-SFTs)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9FD6" w14:textId="591C15AA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bCs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Somma tar-ringieli 1 sa 6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 </w:t>
            </w:r>
          </w:p>
        </w:tc>
      </w:tr>
      <w:tr w:rsidR="002312DE" w:rsidRPr="007717F5" w14:paraId="69E09FE0" w14:textId="77777777" w:rsidTr="009F3999">
        <w:trPr>
          <w:trHeight w:val="1559"/>
        </w:trPr>
        <w:tc>
          <w:tcPr>
            <w:tcW w:w="1380" w:type="dxa"/>
            <w:vAlign w:val="center"/>
          </w:tcPr>
          <w:p w14:paraId="69E09FD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8</w:t>
            </w:r>
          </w:p>
        </w:tc>
        <w:tc>
          <w:tcPr>
            <w:tcW w:w="7659" w:type="dxa"/>
          </w:tcPr>
          <w:p w14:paraId="69E09FD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Kost ta’ sostituzzjoni assoċjat ma’ tranżazzjonijiet tal-SA-CCR (jiġifieri nett mill-marġni eliġibbli ta’ varjazzjoni fi flus)</w:t>
            </w:r>
          </w:p>
          <w:p w14:paraId="69E09FDA" w14:textId="4B3BE93C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274, 275, 295, 296, 297, 298, 429c u 429c(3) tar-Regolament (UE) Nru 575/2013.</w:t>
            </w:r>
          </w:p>
          <w:p w14:paraId="69E09FDB" w14:textId="4A9E98A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il-kost attwali tas-sostituzzjoni kif speċifikat fl-Artikolu 275(1) tal-kuntratti elenkati fl-Anness II tar-Regolament (UE) Nru 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d-derivattivi ta’ kreditu inklużi dawk li jinsabu barra l-karta bilanċjali.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il-kostijiet tas-sostituzzjoni għandhom ikunu netti mill-marġni eliġibbli ta’ varjazzjoni fi flus f’konformità mal-Artikolu 429c(3) tar-Regolament (UE) Nru 575/2013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billi kull marġni ta’ varjazzjoni fi flus li jiġi riċevut fuq komponent eżentat tas-CCP f’konformità mal-Artikolu 429a(1), il-punti (g) jew (h) tar-Regolament (UE) Nru 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 għandux jiġi inkluż.</w:t>
            </w:r>
          </w:p>
          <w:p w14:paraId="69E09FDC" w14:textId="290DEEF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Kif iddeterminat mill-Artikolu 429c(1) tar-Regolament (UE) Nru 575/2013, l-istituzzjonijiet jistgħu jqisu l-effetti ta’ kuntratti ta’ novazzjoni u ftehimiet oħrajn ta’ netting f’konformità mal-Artikolu 295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In-netting bejn prodotti differenti ma għandux japplika.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Madankollu, l-istituzzjonijiet jistgħu jwettqu netting fi ħdan il-kategorija tal-prodotti msemmija fl-Artikolu 272(25), il-punt (c) tar-Regolament (UE) Nru 575/2013 u d-derivattivi ta’ kreditu meta jkunu soġġetti għall-ftehim kontrattwali ta’ netting bejn il-prodotti msemmi fl-Artikolu 295, il-punt (c) tar-Regolament (UE) Nru 575/2013.</w:t>
            </w:r>
          </w:p>
          <w:p w14:paraId="69E09FDD" w14:textId="169448E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ma għandhomx jinkludu kuntratti mkejla bl-applikazzjoni tal-approċċi f’konformità mal-Artikoli 429c(6), jiġifieri l-approċċi fit-Taqsima 4 jew 5 tal-Kapitolu 6 tat-Titolu II tal-Parti Tlieta tar-Regolament (UE) Nru 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(il-metodu simplifikat ta’ SA-CCR jew il-Metodu ta’ Skopertura Oriġinali).</w:t>
            </w:r>
          </w:p>
          <w:p w14:paraId="69E09FDE" w14:textId="51BD85FB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jikkalkulaw il-kostijiet ta’ sostituzzjoni, l-istituzzjonijiet għandhom jinkludu, f’konformità mal-Artikolu 429c(4) u l-Artikolu 429c (4a) tar-Regolament (UE) Nru 575/2013, l-effett tar-rikonoxximent tal-kollateral fuq l-NICA fuq kuntratti tad-derivattivi ma’ klijenti fejn dawk il-kuntratti jiġu kklirjati minn QCCP.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9FDF" w14:textId="6EC9D3A2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għandu jiġi ddivulgat bil-fattur alfa 1.4 kif speċifikat fl-Artikolu 274(2) tar-Regolament (UE) Nru 575/2013.</w:t>
            </w:r>
          </w:p>
        </w:tc>
      </w:tr>
      <w:tr w:rsidR="002312DE" w:rsidRPr="007717F5" w14:paraId="69E09FE7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9FE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EU-8a</w:t>
            </w:r>
          </w:p>
        </w:tc>
        <w:tc>
          <w:tcPr>
            <w:tcW w:w="7659" w:type="dxa"/>
          </w:tcPr>
          <w:p w14:paraId="69E09FE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Deroga għad-derivattivi: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kontribuzzjoni tal-kostijiet ta’ sostituzzjoni skont l-approċċ standardizzat simplifikat</w:t>
            </w:r>
          </w:p>
          <w:p w14:paraId="69E09FE3" w14:textId="4FC8EBCE" w:rsidR="00646595" w:rsidRPr="007717F5" w:rsidRDefault="00646595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L-Artikoli 429c(6) u 281 tar-Regolament (UE) Nru 575/2013.</w:t>
            </w:r>
          </w:p>
          <w:p w14:paraId="69E09FE4" w14:textId="47F3D5AE" w:rsidR="00646595" w:rsidRPr="007717F5" w:rsidRDefault="00646595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Din iċ-ċellola tipprovdi l-kejl tal-iskopertura tal-kuntratti elenkati fil-punti 1 u 2 tal-Anness II tar-Regolament (UE) Nru 575/2013, ikkalkulat f’konformità mal-approċċ standardizzat simplifikat stabbilit fl-Artikolu 281 tar-Regolament (UE) Nru 575/2013, mingħajr l-effett ta’ kollateral fuq l-NICA.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L-ammont għandu jiġi ddivulgat bil-fattur alfa 1.4 applikat kif speċifikat fl-Artikolu 274(2) tar-Regolament (UE) Nru 575/2013.</w:t>
            </w:r>
          </w:p>
          <w:p w14:paraId="69E09FE5" w14:textId="2F5BA025" w:rsidR="00646595" w:rsidRPr="007717F5" w:rsidRDefault="00646595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li japplikaw l-approċċ standardizzat simplifikat ma għandhomx inaqqsu l-kejl tal-iskopertura totali bl-ammont ta’ marġni riċevut f’konformità mal-Artikolu 429c(6) tar-Regolament (UE) Nru 575/2013.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Għalhekk, l-eċċezzjoni għall-kuntratti tad-derivattivi ma’ klijenti meta dawk il-kuntratti jiġu kklirjati minn QCCP fl-Artikolu 429c(4) u l-Artikolu 429c(4a) tar-Regolament (UE) Nru 575/2013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ma għandhiex tapplika</w:t>
            </w:r>
            <w:r>
              <w:rPr>
                <w:color w:val="auto"/>
                <w:rFonts w:ascii="Times New Roman" w:hAnsi="Times New Roman"/>
              </w:rPr>
              <w:t xml:space="preserve">.</w:t>
            </w:r>
          </w:p>
          <w:p w14:paraId="69E09FE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ma għandhomx jikkunsidraw f’din iċ-ċellola kuntratti mkejla bl-applikazzjoni tal-SA-CCR jew il-metodu tal-iskopertura oriġinali.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12DE" w:rsidRPr="007717F5" w14:paraId="69E09FEE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9FE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9</w:t>
            </w:r>
          </w:p>
        </w:tc>
        <w:tc>
          <w:tcPr>
            <w:tcW w:w="7659" w:type="dxa"/>
          </w:tcPr>
          <w:p w14:paraId="69E09FE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Ammonti miżjuda għall-iskopertura futura potenzjali assoċjata mat-tranżazzjonijiet tad-derivattivi SA-CCR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9FEA" w14:textId="691B65F5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274, 275, 295, 296, 297, 298, 299 (2) u 429c tar-Regolament (UE) Nru 575/2013.</w:t>
            </w:r>
          </w:p>
          <w:p w14:paraId="69E09FEB" w14:textId="2782791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miżjud għall-iskoperturi futuri potenzjali tal-kuntratti elenkati fl-Anness II tar-Regolament (UE) Nru 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tad-derivattivi ta’ kreditu inklużi dawk li jinsabu barra l-karta bilanċjali ikkalkolati f’konformità mal-Artikolu 278 tar-Regolament (UE) Nru 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għall-kuntratti elenkati fl-Anness II tar-Regolament (UE) Nru 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l-Artikolu 299(2) tar-Regolament (UE) Nru 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derivattivi ta’ kreditu u li japplikaw ir-regoli ta’ netting f’konformità mal-Artikolu 429c(1)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jiddeterminaw il-valur tal-iskopertura ta’ dawk il-kuntratti, l-istituzzjonijiet jistgħu jqisu l-effetti ta’ kuntratti ta’ novazzjoni u ftehimiet oħrajn ta’ netting f’konformità mal-Artikolu 295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In-netting bejn prodotti differenti ma għandux japplika.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Madankollu, l-istituzzjonijiet jistgħu jwettqu netting fi ħdan il-kategorija tal-prodotti msemmija fl-Artikolu 272(25), il-punt (c) tar-Regolament (UE) Nru 575/2013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d-derivattivi ta’ kreditu meta jkunu soġġetti għall-ftehim kontrattwali ta’ netting bejn il-prodotti msemmija fl-Artikolu 295, il-punt (c) tar-Regolament (UE) Nru 575/2013.</w:t>
            </w:r>
          </w:p>
          <w:p w14:paraId="69E09FEC" w14:textId="17F20015" w:rsidR="00646595" w:rsidRPr="007717F5" w:rsidRDefault="00646595">
            <w:pPr>
              <w:tabs>
                <w:tab w:val="left" w:pos="400"/>
              </w:tabs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429c(5) tar-Regolament (UE) Nru 575/2013, l-istituzzjonijiet għandhom jistabbilixxu l-valur tal-multiplikatur użat fil-kalkolu tal-iskopertura futura potenzjali f’konformità mal-Artikolu 278(1) tar-Regolament (UE) Nru 575/2013 għal wieħed, ħlief fil-każ ta’ kuntratti tad-derivattivi ma’ klijenti meta dawk il-kuntratti jiġu kklirjati minn QCCP.</w:t>
            </w:r>
          </w:p>
          <w:p w14:paraId="69E09FED" w14:textId="39F9EFCF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ma għandhomx jinkludu f’din iċ-ċellola dawk il-kuntratti mkejla bl-applikazzjoni tal-approċċi f’konformità mal-Artikoli 429c(6), jiġifieri l-approċċi fit-Taqsima 4 jew 5 tal-Kapitolu 6 tat-Titolu II tal-Parti Tlieta tar-Regolament (UE) Nru 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(SA-CCR issimplifikat jew il-Metodu ta’ Skopertura Oriġinali)</w:t>
            </w:r>
            <w:r>
              <w:rPr>
                <w:rFonts w:ascii="Times New Roman" w:hAnsi="Times New Roman"/>
              </w:rPr>
              <w:t xml:space="preserve">.</w:t>
            </w:r>
          </w:p>
        </w:tc>
      </w:tr>
      <w:tr w:rsidR="002312DE" w:rsidRPr="007717F5" w14:paraId="69E09FF5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9FE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EU-9a</w:t>
            </w:r>
          </w:p>
        </w:tc>
        <w:tc>
          <w:tcPr>
            <w:tcW w:w="7659" w:type="dxa"/>
          </w:tcPr>
          <w:p w14:paraId="69E09FF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Deroga għad-derivattivi: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Kontribuzzjoni tal-iskopertura futura potenzjali skont l-approċċ standardizzat simplifikat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9E09FF1" w14:textId="4471AB4B" w:rsidR="00646595" w:rsidRPr="002B7F3A" w:rsidRDefault="00646595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Artikolu 429c(5) tar-Regolament (UE) Nru 575/2013.</w:t>
            </w:r>
          </w:p>
          <w:p w14:paraId="69E09FF2" w14:textId="463F7E91" w:rsidR="00646595" w:rsidRPr="007717F5" w:rsidRDefault="00646595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L-iskopertura futura potenzjali f’konformità mal-approċċ standardizzat simplifikat stabbilit fl-Artikolu 281 tar-Regolament (UE) Nru 575/2013, jekk wieħed jassumi multiplikatur ta’ 1.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L-ammont għandu jiġi ddivulgat bil-fattur alfa 1.4 applikat kif speċifikat fl-Artikolu 274(2) tar-Regolament (UE) Nru 575/2013.</w:t>
            </w:r>
          </w:p>
          <w:p w14:paraId="69E09FF3" w14:textId="217CF7A8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li japplikaw l-approċċ standardizzat simplifikat ma għandhomx inaqqsu l-kejl tal-iskopertura totali bl-ammont ta’ marġni riċevut f’konformità mal-Artikolu 429c(6) tar-Regolament (UE) Nru 575/2013.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Għalhekk, l-eċċezzjoni għal kuntratti tad-derivattivi ma’ klijenti meta dawk il-kuntratti jiġu kklirjati minn QCCP fl-Artikolu 429c(5) tar-Regolament (UE) Nru 575/2013 ma għandhiex tapplika.</w:t>
            </w:r>
          </w:p>
          <w:p w14:paraId="69E09FF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ma għandhomx jikkunsidraw f’din iċ-ċellola kuntratti mkejla bl-applikazzjoni tal-SA-CCR jew il-metodu tal-iskopertura oriġinali.</w:t>
            </w:r>
          </w:p>
        </w:tc>
      </w:tr>
      <w:tr w:rsidR="002312DE" w:rsidRPr="007717F5" w14:paraId="69E09FFC" w14:textId="77777777" w:rsidTr="009F3999">
        <w:trPr>
          <w:trHeight w:val="558"/>
        </w:trPr>
        <w:tc>
          <w:tcPr>
            <w:tcW w:w="1380" w:type="dxa"/>
            <w:vAlign w:val="center"/>
          </w:tcPr>
          <w:p w14:paraId="69E09FF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EU-9b</w:t>
            </w:r>
          </w:p>
        </w:tc>
        <w:tc>
          <w:tcPr>
            <w:tcW w:w="7659" w:type="dxa"/>
          </w:tcPr>
          <w:p w14:paraId="69E09FF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Skopertura determinata skont il-Metodu ta’ Skopertura Oriġinali</w:t>
            </w:r>
          </w:p>
          <w:p w14:paraId="69E09FF8" w14:textId="52359AAF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429c(6) u t-Taqsima 4 jew 5 tal-Kapitolu 6 tat-Titolu II tal-Parti Tlieta tar-Regolament (UE) Nru 575/2013</w:t>
            </w:r>
          </w:p>
          <w:p w14:paraId="69E09FF9" w14:textId="48B21326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il-kejl tal-iskopertura tal-kuntratti elenkati fil-punti 1 u 2 tal-Anness II tar-Regolament (UE) Nru 575/2013 ikkalkolat f’konformità mal-Metodu ta’ Skopertura Oriġinali stabbilit fit-Taqsima 4 jew 5 tal-Kapitolu 6 tat-Titolu II tal-Parti Tlieta tar-Regolament (UE) Nru 575/2013.</w:t>
            </w:r>
          </w:p>
          <w:p w14:paraId="69E09FFA" w14:textId="7295630E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japplikaw il-Metodu ta’ Skopertura Oriġinali ma għandhomx inaqqsu l-kejl tal-iskopertura bl-ammont ta’ marġni li jkunu rċivew f’konformità mal-Artikolu 429c(6) tar-Regolament (UE) Nru 575/2013.</w:t>
            </w:r>
          </w:p>
          <w:p w14:paraId="69E09FF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ma jużawx il-Metodu ta’ Skopertura Oriġinali ma għandhomx jiddivulgaw din iċ-ċellola.</w:t>
            </w:r>
          </w:p>
        </w:tc>
      </w:tr>
      <w:tr w:rsidR="002312DE" w:rsidRPr="007717F5" w14:paraId="69E0A003" w14:textId="77777777" w:rsidTr="009F3999">
        <w:trPr>
          <w:trHeight w:val="1408"/>
        </w:trPr>
        <w:tc>
          <w:tcPr>
            <w:tcW w:w="1380" w:type="dxa"/>
            <w:vAlign w:val="center"/>
          </w:tcPr>
          <w:p w14:paraId="69E09FF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10</w:t>
            </w:r>
          </w:p>
        </w:tc>
        <w:tc>
          <w:tcPr>
            <w:tcW w:w="7659" w:type="dxa"/>
          </w:tcPr>
          <w:p w14:paraId="69E09FF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(Komponent eżentat tas-CCP tal-iskoperturi ta’ negozju kklirjati għall-klijenti) (SA-CCR)</w:t>
            </w:r>
          </w:p>
          <w:p w14:paraId="69E09FFF" w14:textId="4BB45851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429a(1), il-punti (g) u (h) tar-Regolament (UE) Nru 575/2013.</w:t>
            </w:r>
          </w:p>
          <w:p w14:paraId="69E0A000" w14:textId="369087A0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l-iskoperturi tan-negozjar eżentati lil QCCP minn tranżazzjonijiet ta’ derivattivi kklirjati mill-klijenti (SA-CCR), dment li dawk l-elementi jissodisfaw il-kundizzjonijiet stabbiliti fl-Artikolu 306(1), il-punt (c) tar-Regolament (UE) Nru 575/2013.</w:t>
            </w:r>
          </w:p>
          <w:p w14:paraId="69E0A00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inaqqas il-kejl tal-iskopertura totali, l-istituzzjonijiet għandhom iqiegħdu l-valur f’din iċ-ċellola bejn il-parentesi (ammont negattiv).</w:t>
            </w:r>
          </w:p>
          <w:p w14:paraId="69E0A00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iddivulgat irid jiġi inkluż ukoll fiċ-ċelloli applikabbli hawn fuq daqslikieku ma kienet tapplika l-ebda eżenzjoni.</w:t>
            </w:r>
          </w:p>
        </w:tc>
      </w:tr>
      <w:tr w:rsidR="002312DE" w:rsidRPr="007717F5" w14:paraId="69E0A009" w14:textId="77777777" w:rsidTr="009F3999">
        <w:trPr>
          <w:trHeight w:val="1266"/>
        </w:trPr>
        <w:tc>
          <w:tcPr>
            <w:tcW w:w="1380" w:type="dxa"/>
            <w:vAlign w:val="center"/>
          </w:tcPr>
          <w:p w14:paraId="69E0A00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EU-10a</w:t>
            </w:r>
          </w:p>
        </w:tc>
        <w:tc>
          <w:tcPr>
            <w:tcW w:w="7659" w:type="dxa"/>
          </w:tcPr>
          <w:p w14:paraId="69E0A00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(Komponent eżentat tas-CCP tal-iskoperturi ta’ negozju kklirjati għall-klijenti) (approċċ standardizzat simplifikat)</w:t>
            </w:r>
          </w:p>
          <w:p w14:paraId="69E0A006" w14:textId="322385C0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L-Artikolu 429a(1), il-punti (g) u (h) tar-Regolament (UE) Nru 575/2013.</w:t>
            </w:r>
          </w:p>
          <w:p w14:paraId="69E0A007" w14:textId="13BB69D5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l-iskoperturi tan-negozjar eżentati lil QCCP minn tranżazzjonijiet ta’ derivattivi kklirjati mill-klijenti (approċċ standardizzat simplifikat), dment li dawk l-elementi jissodisfaw il-kundizzjonijiet stabbiliti fl-Artikolu 306(1), il-punt (c) tar-Regolament (UE) Nru 575/2013.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L-ammont għandu jiġi ddivulgat bil-fattur alfa 1.4 applikat kif speċifikat fl-Artikolu 274(2) tar-Regolament (UE) Nru 575/2013</w:t>
            </w:r>
            <w:r>
              <w:rPr>
                <w:color w:val="auto"/>
                <w:rFonts w:ascii="Times New Roman" w:hAnsi="Times New Roman"/>
              </w:rPr>
              <w:br/>
            </w:r>
            <w:r>
              <w:rPr>
                <w:color w:val="auto"/>
                <w:sz w:val="24"/>
                <w:rFonts w:ascii="Times New Roman" w:hAnsi="Times New Roman"/>
              </w:rPr>
              <w:t xml:space="preserve">(ammont negattiv).</w:t>
            </w:r>
          </w:p>
          <w:p w14:paraId="69E0A008" w14:textId="77777777" w:rsidR="00646595" w:rsidRPr="007717F5" w:rsidRDefault="00646595" w:rsidP="00E9371F">
            <w:pPr>
              <w:pStyle w:val="BodyText1"/>
              <w:spacing w:line="240" w:lineRule="auto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L-ammont iddikjarat irid jiġi inkluż ukoll fiċ-ċelloli applikabbli hawn fuq daqslikieku ma applikat l-ebda eżenzjoni.</w:t>
            </w:r>
          </w:p>
        </w:tc>
      </w:tr>
      <w:tr w:rsidR="002312DE" w:rsidRPr="007717F5" w14:paraId="69E0A010" w14:textId="77777777" w:rsidTr="009F3999">
        <w:trPr>
          <w:trHeight w:val="558"/>
        </w:trPr>
        <w:tc>
          <w:tcPr>
            <w:tcW w:w="1380" w:type="dxa"/>
            <w:vAlign w:val="center"/>
          </w:tcPr>
          <w:p w14:paraId="69E0A00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EU-10b</w:t>
            </w:r>
          </w:p>
        </w:tc>
        <w:tc>
          <w:tcPr>
            <w:tcW w:w="7659" w:type="dxa"/>
          </w:tcPr>
          <w:p w14:paraId="69E0A00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(Komponent tas-CCP eżentat tal-iskoperturi tan-negozjar ikklirjati mill-klijent)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(Metodu ta’ Skopertura Oriġinali)</w:t>
            </w:r>
          </w:p>
          <w:p w14:paraId="69E0A00C" w14:textId="4F0251E1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429a(1), il-punti (g) u (h) tar-Regolament (UE) Nru 575/2013.</w:t>
            </w:r>
          </w:p>
          <w:p w14:paraId="69E0A00D" w14:textId="14E9E625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l-iskoperturi tan-negozjar eżentati lil QCCP minn tranżazzjonijiet ta’ derivattivi kklirjati mill-klijenti (metodu ta’ skopertura oriġinali), dment li dawk l-elementi jissodisfaw il-kundizzjonijiet stabbiliti fl-Artikolu 306(1), il-punt (c) tar-Regolament (UE) Nru 575/2013.</w:t>
            </w:r>
          </w:p>
          <w:p w14:paraId="69E0A00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inaqqas il-kejl tal-iskopertura totali, l-istituzzjonijiet għandhom iqiegħdu l-valur f’din iċ-ċellola bejn il-parentesi (ammont negattiv).</w:t>
            </w:r>
          </w:p>
          <w:p w14:paraId="69E0A00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iddikjarat irid jiġi inkluż ukoll fiċ-ċelloli applikabbli hawn fuq daqslikieku ma applikat l-ebda eżenzjoni.</w:t>
            </w:r>
          </w:p>
        </w:tc>
      </w:tr>
      <w:tr w:rsidR="002312DE" w:rsidRPr="007717F5" w14:paraId="69E0A015" w14:textId="77777777" w:rsidTr="009F3999">
        <w:trPr>
          <w:trHeight w:val="1587"/>
        </w:trPr>
        <w:tc>
          <w:tcPr>
            <w:tcW w:w="1380" w:type="dxa"/>
            <w:vAlign w:val="center"/>
          </w:tcPr>
          <w:p w14:paraId="69E0A01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11</w:t>
            </w:r>
          </w:p>
        </w:tc>
        <w:tc>
          <w:tcPr>
            <w:tcW w:w="7659" w:type="dxa"/>
          </w:tcPr>
          <w:p w14:paraId="69E0A01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Ammont nozzjonali effettiv aġġustat ta’ derivattivi sottoskritti ta’ kreditu</w:t>
            </w:r>
          </w:p>
          <w:p w14:paraId="69E0A013" w14:textId="6C2ECC9D" w:rsidR="00646595" w:rsidRPr="002B7F3A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429d tar-Regolament (UE) Nru 575/2013.</w:t>
            </w:r>
          </w:p>
          <w:p w14:paraId="69E0A014" w14:textId="5A6CA58F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il-valur nozzjonali limitat ta’ derivattivi sottoskritti ta’ kreditu (jiġifieri meta l-istituzzjoni tkun il-fornitriċi ta’ protezzjoni kreditizja lil kontroparti) kif stabbilit fl-Artikolu 429d tar-Regolament (UE) Nru 575/2013.</w:t>
            </w:r>
          </w:p>
        </w:tc>
      </w:tr>
      <w:tr w:rsidR="002312DE" w:rsidRPr="007717F5" w14:paraId="69E0A01C" w14:textId="77777777" w:rsidTr="009F3999">
        <w:trPr>
          <w:trHeight w:val="850"/>
        </w:trPr>
        <w:tc>
          <w:tcPr>
            <w:tcW w:w="1380" w:type="dxa"/>
            <w:vAlign w:val="center"/>
          </w:tcPr>
          <w:p w14:paraId="69E0A01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12</w:t>
            </w:r>
          </w:p>
        </w:tc>
        <w:tc>
          <w:tcPr>
            <w:tcW w:w="7659" w:type="dxa"/>
          </w:tcPr>
          <w:p w14:paraId="69E0A01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(Kumpensi nozzjonali effettivi aġġustati u tnaqqis għall-ammonti miżjuda għad-derivattivi sottoskritti ta’ kreditu)</w:t>
            </w:r>
          </w:p>
          <w:p w14:paraId="69E0A018" w14:textId="151848FA" w:rsidR="00646595" w:rsidRPr="002B7F3A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429d tar-Regolament (UE) Nru 575/2013.</w:t>
            </w:r>
          </w:p>
          <w:p w14:paraId="69E0A01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il-valur nozzjonali limitat ta’ derivattivi ta’ kreditu mixtrija (jiġifieri meta l-istituzzjoni tkun qed tixtri protezzjoni ta’ kreditu mingħand kontroparti) bl-istess ismijiet ta’ referenza bħal dawk id-derivattivi ta’ kreditu mibjugħa mill-istituzzjoni, meta l-maturità li jifdal tal-protezzjoni mixtrija tkun daqs jew akbar mill-maturità li jifdal tal-protezzjoni mibjugħa.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Għalhekk, il-valur ma għandux ikun akbar mill-valur imdaħħal fir-ringiela 11 tal-mudell EU LR2 - LRCom għal kull isem ta’ referenza.</w:t>
            </w:r>
          </w:p>
          <w:p w14:paraId="69E0A01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iddikjarat inaqqas il-kejl tal-iskopertura totali, l-istituzzjonijiet għandhom iqiegħdu l-valur f’din iċ-ċellola bejn il-parentesi (ammont negattiv).</w:t>
            </w:r>
          </w:p>
          <w:p w14:paraId="69E0A01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iddikjarat irid jiġi inkluż ukoll fiċ-ċellola preċedenti daqslikieku ma kien japplika l-ebda aġġustament.</w:t>
            </w:r>
          </w:p>
        </w:tc>
      </w:tr>
      <w:tr w:rsidR="002312DE" w:rsidRPr="007717F5" w14:paraId="69E0A020" w14:textId="77777777" w:rsidTr="009F3999">
        <w:trPr>
          <w:trHeight w:val="949"/>
        </w:trPr>
        <w:tc>
          <w:tcPr>
            <w:tcW w:w="1380" w:type="dxa"/>
            <w:vAlign w:val="center"/>
          </w:tcPr>
          <w:p w14:paraId="69E0A01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13</w:t>
            </w:r>
          </w:p>
        </w:tc>
        <w:tc>
          <w:tcPr>
            <w:tcW w:w="7659" w:type="dxa"/>
          </w:tcPr>
          <w:p w14:paraId="69E0A01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totali tad-derivattivi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A01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Somma tar-ringieli 8 sa 12</w:t>
            </w:r>
          </w:p>
        </w:tc>
      </w:tr>
      <w:tr w:rsidR="002312DE" w:rsidRPr="007717F5" w14:paraId="69E0A027" w14:textId="77777777" w:rsidTr="009F3999">
        <w:trPr>
          <w:trHeight w:val="708"/>
        </w:trPr>
        <w:tc>
          <w:tcPr>
            <w:tcW w:w="1380" w:type="dxa"/>
            <w:vAlign w:val="center"/>
          </w:tcPr>
          <w:p w14:paraId="69E0A02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14</w:t>
            </w:r>
          </w:p>
        </w:tc>
        <w:tc>
          <w:tcPr>
            <w:tcW w:w="7659" w:type="dxa"/>
          </w:tcPr>
          <w:p w14:paraId="69E0A02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Assi grossi f’SFTs (mingħajr rikonoxximent ta’ netting), wara l-aġġustamenti għat-tranżazzjonijiet kontabilizzati bħala bejgħ</w:t>
            </w:r>
          </w:p>
          <w:p w14:paraId="69E0A023" w14:textId="23E59DDC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(77), l-Artikoli 206 u 429e(6) tar-Regolament (UE) Nru 575/2013.</w:t>
            </w:r>
          </w:p>
          <w:p w14:paraId="69E0A024" w14:textId="3AE5D358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il-valur kontabilistiku tal-karta bilanċjali skont il-qafas ta’ kontabilità applikabbli tal-SFTs kemm koperti kif ukoll mhux koperti minn ftehim prinċipali ta’ netting eliġibbli skont l-Artikolu 206 tar-Regolament (UE) 575/2013, fil-każijiet li fihom il-kuntratti huma rikonoxxuti bħala assi fil-karta bilanċjali li ma jassumu l-ebda nnettjar prudenzjali jew kontabilistiku jew effetti ta’ mitigazzjoni tar-riskju (jiġifieri l-valur kontabilistiku tal-karta bilanċjali aġġustat għall-effetti ta’ netting kontabilistiku jew mitigazzjoni tar-riskju).</w:t>
            </w:r>
          </w:p>
          <w:p w14:paraId="69E0A025" w14:textId="1DE9A951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Barra minn hekk, meta kontabbiltà tal-bejgħ tinkiseb għal SFT skont il-qafas kontabilistiku applikabbli, l-istituzzjonijiet għandhom ireġġgħu lura l-entrati kontabilistiċi kollha relatati mal-bejgħ f’konformità mal-Artikolu 429e(6) tar-Regolament (UE) Nru 575/2013.</w:t>
            </w:r>
          </w:p>
          <w:p w14:paraId="69E0A02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ma għandhomx jinkludu flus riċevuti jew xi titolu li huwa pprovdut lil kontroparti permezz tat-tranżazzjonijiet imsemmijin iktar ’il fuq u li jinżamm fil-karta bilanċjali (jiġifieri ma jintlaħqux il-kriterji kontabilistiċi għad-dekontabilizzar).</w:t>
            </w:r>
          </w:p>
        </w:tc>
      </w:tr>
      <w:tr w:rsidR="002312DE" w:rsidRPr="007717F5" w14:paraId="69E0A02D" w14:textId="77777777" w:rsidTr="009F3999">
        <w:trPr>
          <w:trHeight w:val="557"/>
        </w:trPr>
        <w:tc>
          <w:tcPr>
            <w:tcW w:w="1380" w:type="dxa"/>
            <w:vAlign w:val="center"/>
          </w:tcPr>
          <w:p w14:paraId="69E0A028" w14:textId="77777777" w:rsidR="00646595" w:rsidRPr="007717F5" w:rsidRDefault="00646595" w:rsidP="00E9371F">
            <w:pPr>
              <w:pStyle w:val="Applicationdirecte"/>
              <w:spacing w:before="0"/>
              <w:jc w:val="center"/>
            </w:pPr>
            <w:r>
              <w:t xml:space="preserve">15</w:t>
            </w:r>
          </w:p>
        </w:tc>
        <w:tc>
          <w:tcPr>
            <w:tcW w:w="7659" w:type="dxa"/>
          </w:tcPr>
          <w:p w14:paraId="69E0A02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(Ammonti nnettjati ta’ pagabbli fi flus u ta’ riċevibbli fi flus ta’ assi grossi f’SFTs)</w:t>
            </w:r>
          </w:p>
          <w:p w14:paraId="69E0A02A" w14:textId="22AD135E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4(1), il-punt (77), l-Artikolu 206, l-Artikolu 429b(1), il-punt (b), l-Artikoli 429b(4) u 429e(6) tar-Regolament (UE) Nru 575/2013.</w:t>
            </w:r>
          </w:p>
          <w:p w14:paraId="69E0A02B" w14:textId="64CCCFCB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ta’ pagabbli fi flus ta’ assi grossi f’SFTs li ġew innettjati f’konformità mal-Artikolu 429b(4) tar-Regolament (UE) Nru 575/2013.</w:t>
            </w:r>
          </w:p>
          <w:p w14:paraId="69E0A02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34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02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16</w:t>
            </w:r>
          </w:p>
        </w:tc>
        <w:tc>
          <w:tcPr>
            <w:tcW w:w="7659" w:type="dxa"/>
          </w:tcPr>
          <w:p w14:paraId="69E0A02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Skopertura tar-riskju ta’ kreditu tal-kontroparti għall-assi SFT</w:t>
            </w:r>
          </w:p>
          <w:p w14:paraId="69E0A030" w14:textId="204C8600" w:rsidR="00646595" w:rsidRPr="002B7F3A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429e(1) tar-Regolament (UE) Nru 575/2013.</w:t>
            </w:r>
          </w:p>
          <w:p w14:paraId="69E0A031" w14:textId="32BD6D04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is-suppliment għar-riskju ta’ kreditu tal-kontroparti tal-SFTs, inklużi dawk li ma jidhrux fil-karta bilanċjali, iddeterminat f’konformità mal-Artikolu 429e(2) jew (3) tar-Regolament (UE) Nru 575/2013, kif ikun applikabbli.</w:t>
            </w:r>
          </w:p>
          <w:p w14:paraId="69E0A032" w14:textId="6FDEDAD3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għandhom jinkludu tranżazzjonijiet f’konformità mal-Artikolu 429e(7) il-punt (c) tar-Regolament (UE) Nru 575/2013.</w:t>
            </w:r>
          </w:p>
          <w:p w14:paraId="69E0A033" w14:textId="182A884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ma għandhomx jinkludu SFTs minn aġenti li fihom l-istituzzjoni tipprovdi indennizz jew garanzija lil klijent jew kontroparti limitat(a) għal kull differenza bejn il-valur tat-titolu jew tal-flus li l-klijent ikun silef u l-valur tal-kollateral li l-mutwatarju jkun ipprovda f’konformità mal-Artikolu 429e(7), il-punt (a)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12DE" w:rsidRPr="007717F5" w14:paraId="69E0A03B" w14:textId="77777777" w:rsidTr="009F3999">
        <w:trPr>
          <w:trHeight w:val="555"/>
        </w:trPr>
        <w:tc>
          <w:tcPr>
            <w:tcW w:w="1380" w:type="dxa"/>
            <w:vAlign w:val="center"/>
          </w:tcPr>
          <w:p w14:paraId="69E0A03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EU-16a</w:t>
            </w:r>
          </w:p>
        </w:tc>
        <w:tc>
          <w:tcPr>
            <w:tcW w:w="7659" w:type="dxa"/>
          </w:tcPr>
          <w:p w14:paraId="69E0A036" w14:textId="4C04A87D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Deroga għall-SFTs: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Skopertura għar-riskju ta’ kreditu tal-kontroparti f’konformità mal-Artikoli 429e(5) u 222 CRR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A037" w14:textId="32BACA49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429e(5) u 222 tar-Regolament (UE) Nru 575/2013</w:t>
            </w:r>
          </w:p>
          <w:p w14:paraId="69E0A038" w14:textId="42EF18BA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miżjud għall-SFTs inklużi dawk li ma jinsabux fil-karta bilanċjali kkalkolat f’konformità mal-Artikolu 222 tar-Regolament (UE) Nru 575/2013, soġġett għal-limitu minimu ta’ 20 % għall-ponderazzjoni applikabbli tar-riskju.</w:t>
            </w:r>
          </w:p>
          <w:p w14:paraId="69E0A039" w14:textId="699478FA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għandhom jinkludu tranżazzjonijiet f’konformità mal-punt (c) tal-Artikolu 429e(7) tar-Regolament (UE) Nru 575/2013.</w:t>
            </w:r>
          </w:p>
          <w:p w14:paraId="69E0A03A" w14:textId="7FF1EDC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ma għandhomx jinkludu tranżazzjonijiet li għalihom il-parti miżjuda tal-valur tal-iskopertura tal-proporzjon ta’ ingranaġġ hija ddeterminata f'konformità mal-metodu ddefinit fl-Artikolu 429e(1) tar-Regolament (UE) Nru 575/2013.</w:t>
            </w:r>
          </w:p>
        </w:tc>
      </w:tr>
      <w:tr w:rsidR="002312DE" w:rsidRPr="007717F5" w14:paraId="69E0A041" w14:textId="77777777" w:rsidTr="009F3999">
        <w:trPr>
          <w:trHeight w:val="1134"/>
        </w:trPr>
        <w:tc>
          <w:tcPr>
            <w:tcW w:w="1380" w:type="dxa"/>
            <w:vAlign w:val="center"/>
          </w:tcPr>
          <w:p w14:paraId="69E0A03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17</w:t>
            </w:r>
          </w:p>
        </w:tc>
        <w:tc>
          <w:tcPr>
            <w:tcW w:w="7659" w:type="dxa"/>
          </w:tcPr>
          <w:p w14:paraId="69E0A03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ta’ tranżazzjonijiet minn aġenti</w:t>
            </w:r>
          </w:p>
          <w:p w14:paraId="69E0A03E" w14:textId="6340DC81" w:rsidR="00646595" w:rsidRPr="007717F5" w:rsidRDefault="00646595" w:rsidP="5E9D3914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429e(2)(3) u l-Artikolu 429e(7), il-punt (a) tar-Regolament (UE) Nru 575/2013</w:t>
            </w:r>
          </w:p>
          <w:p w14:paraId="69E0A03F" w14:textId="055A1A32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il-valur tal-iskopertura għall-SFTs effettwati bħala aġenti meta l-istituzzjoni tipprovdi indennizz jew garanzija lil klijent jew lil kontroparti limitata għal kwalunkwe differenza bejn il-valur tat-titolu jew tal-flus li l-klijent ikun sellef u l-valur tal-kollateral li l-mutwatarju jkun ipprovda f’konformità mal-Artikolu 429e(7) il-punt (a)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tal-iskopertura għandu jikkonsisti biss mis-suppliment iddeterminat f’konformità mal-Artikolu 429e(2) jew (3) tar-Regolament (UE) Nru 575/2013, kif ikun applikabbli.</w:t>
            </w:r>
          </w:p>
          <w:p w14:paraId="69E0A040" w14:textId="127A7C2E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F’din iċ-ċellola, l-istituzzjonijiet ma għandhomx jinkludu tranżazzjonijiet f’konformità mal-Artikolu 429e(7), il-punt (c) tar-Regolament (UE) Nru 575/2013.</w:t>
            </w:r>
          </w:p>
        </w:tc>
      </w:tr>
      <w:tr w:rsidR="002312DE" w:rsidRPr="007717F5" w14:paraId="69E0A049" w14:textId="77777777" w:rsidTr="009F3999">
        <w:trPr>
          <w:trHeight w:val="978"/>
        </w:trPr>
        <w:tc>
          <w:tcPr>
            <w:tcW w:w="1380" w:type="dxa"/>
            <w:vAlign w:val="center"/>
          </w:tcPr>
          <w:p w14:paraId="69E0A04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EU-17a</w:t>
            </w:r>
          </w:p>
        </w:tc>
        <w:tc>
          <w:tcPr>
            <w:tcW w:w="7659" w:type="dxa"/>
          </w:tcPr>
          <w:p w14:paraId="69E0A04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(Komponent eżentat tas-CCP tal-iskopertura tal-SFT ikklirjata għall-klijenti)</w:t>
            </w:r>
          </w:p>
          <w:p w14:paraId="69E0A044" w14:textId="17A7EC1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429a(1), il-punti (g) u (h) u l-Artikolu 306(1), il-punt (c)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A045" w14:textId="757CDB78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il-komponent eżentat tas-CCP tal-iskoperturi ta’ negozju tal-SFT kklirjati għall-klijenti, dment li dawk l-elementi jissodisfaw il-kundizzjonijiet stabbiliti fl-Artikolu 306(1), il-punt (c) tar-Regolament (UE) Nru 575/2013.</w:t>
            </w:r>
          </w:p>
          <w:p w14:paraId="69E0A046" w14:textId="51FC915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Fil-każijiet li fihom il-komponent eżentat tas-CCP ikun titolu, dan ma għandux ikun inkluż f’din iċ-ċellola sakemm ma jkunx titolu mirħun mill-ġdid, li skont il-qafas ta’ kontabilità applikabbli, (jiġifieri f’konformità mal-ewwel sentenza tal-Artikolu 111(1) tar-Regolament (UE) Nru 575/2013) ikun inkluż bil-valur sħiħ tiegħu.</w:t>
            </w:r>
          </w:p>
          <w:p w14:paraId="69E0A04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l-aġġustament inaqqas il-kejl tal-iskopertura totali, l-istituzzjonijiet għandhom iqiegħdu l-valur f’din ir-ringiela bejn il-parentesi (ammont negattiv).</w:t>
            </w:r>
          </w:p>
          <w:p w14:paraId="69E0A04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iddikjarat irid jiġi inkluż ukoll fiċ-ċelloli applikabbli hawn fuq daqslikieku ma applikat l-ebda eżenzjoni.</w:t>
            </w:r>
          </w:p>
        </w:tc>
      </w:tr>
      <w:tr w:rsidR="002312DE" w:rsidRPr="007717F5" w14:paraId="69E0A04D" w14:textId="77777777" w:rsidTr="009F3999">
        <w:trPr>
          <w:trHeight w:val="862"/>
        </w:trPr>
        <w:tc>
          <w:tcPr>
            <w:tcW w:w="1380" w:type="dxa"/>
            <w:vAlign w:val="center"/>
          </w:tcPr>
          <w:p w14:paraId="69E0A04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18</w:t>
            </w:r>
          </w:p>
        </w:tc>
        <w:tc>
          <w:tcPr>
            <w:tcW w:w="7659" w:type="dxa"/>
          </w:tcPr>
          <w:p w14:paraId="69E0A04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Total tal-iskoperturi ta’ tranżazzjonijiet ta’ finanzjament tat-titoli</w:t>
            </w:r>
          </w:p>
          <w:p w14:paraId="69E0A04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Somma tar-ringieli 14 sa EU-17a</w:t>
            </w:r>
          </w:p>
        </w:tc>
      </w:tr>
      <w:tr w:rsidR="002312DE" w:rsidRPr="007717F5" w14:paraId="69E0A052" w14:textId="77777777" w:rsidTr="009F3999">
        <w:trPr>
          <w:trHeight w:val="1590"/>
        </w:trPr>
        <w:tc>
          <w:tcPr>
            <w:tcW w:w="1380" w:type="dxa"/>
            <w:vAlign w:val="center"/>
          </w:tcPr>
          <w:p w14:paraId="69E0A04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19</w:t>
            </w:r>
          </w:p>
        </w:tc>
        <w:tc>
          <w:tcPr>
            <w:tcW w:w="7659" w:type="dxa"/>
          </w:tcPr>
          <w:p w14:paraId="69E0A04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li ma jidhrux fil-karta bilanċjali skont l-ammont nozzjonali gross</w:t>
            </w:r>
          </w:p>
          <w:p w14:paraId="69E0A050" w14:textId="615F9AAE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429f tar-Regolament (UE) Nru 575/2013</w:t>
            </w:r>
          </w:p>
          <w:p w14:paraId="69E0A051" w14:textId="2BBDDF4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il-valur nominali tal-entrati kollha li ma jidhrux fil-karta bilanċjali kif iddefiniti fl-Artikolu 429f tar-Regolament (UE) Nru 575/2013, qabel xi aġġustament għall-fatturi ta’ konverżjoni u l-aġġustamenti speċifiċi għar-riskju ta’ kreditu.</w:t>
            </w:r>
          </w:p>
        </w:tc>
      </w:tr>
      <w:tr w:rsidR="002312DE" w:rsidRPr="007717F5" w14:paraId="69E0A057" w14:textId="77777777" w:rsidTr="009F3999">
        <w:trPr>
          <w:trHeight w:val="1530"/>
        </w:trPr>
        <w:tc>
          <w:tcPr>
            <w:tcW w:w="1380" w:type="dxa"/>
            <w:vAlign w:val="center"/>
          </w:tcPr>
          <w:p w14:paraId="69E0A05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20</w:t>
            </w:r>
          </w:p>
        </w:tc>
        <w:tc>
          <w:tcPr>
            <w:tcW w:w="7659" w:type="dxa"/>
          </w:tcPr>
          <w:p w14:paraId="69E0A05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(Aġġustamenti għall-konverżjoni għal ammonti ekwivalenti ta’ kreditu)</w:t>
            </w:r>
          </w:p>
          <w:p w14:paraId="69E0A055" w14:textId="2E2B6702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429f tar-Regolament (UE) Nru 575/2013.</w:t>
            </w:r>
          </w:p>
          <w:p w14:paraId="69E0A05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fl-ammont gross ta’ skoperturi li ma jidhrux fil-karta bilanċjali minħabba l-applikazzjoni tas-CCFs.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Peress li jnaqqas il-kejl tal-iskopertura totali, il-valur iddivulgat f’din ir-ringiela għandu jikkontribwixxi b’mod negattiv fil-kalkolu tas-somma li għandha tiġi ddivulgata fir-ringiela 22 tal-mudell EU LR2 - LRCom.</w:t>
            </w:r>
          </w:p>
        </w:tc>
      </w:tr>
      <w:tr w:rsidR="002312DE" w:rsidRPr="007717F5" w14:paraId="69E0A060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05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21</w:t>
            </w:r>
          </w:p>
        </w:tc>
        <w:tc>
          <w:tcPr>
            <w:tcW w:w="7659" w:type="dxa"/>
          </w:tcPr>
          <w:p w14:paraId="69E0A05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(Provvedimenti ġenerali mnaqqsa fid-determinazzjoni tal-kapital tal-Grad 1 u provvedimenti speċifiċi assoċjati ma’ skoperturi li ma jidhrux fil-karta bilanċjali)</w:t>
            </w:r>
          </w:p>
          <w:p w14:paraId="69E0A05A" w14:textId="521B84C1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429(4) u 429f(1) u (2)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</w:p>
          <w:p w14:paraId="69E0A05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jistgħu jnaqqsu l-ammont ekwivalenti ta’ skopertura ta’ kreditu ta’ entrata li ma tidhirx fil-karta bilanċjali bl-ammont korrispondenti ta’ aġġustamenti ġenerali għar-riskju ta’ kreditu li jitnaqqsu mill-kapital tal-Grad 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Il-kalkolu għandu jkun soġġett għal minimu ta’ żero.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A05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jistgħu jnaqqsu l-ammont ekwivalenti ta’ skopertura ta’ kreditu ta’ entrata li ma tidhirx fil-karta bilanċjali bl-ammont korrispondenti ta’ aġġustamenti speċifiċi għar-riskju ta’ 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Il-kalkolu għandu jkun soġġett għal minimu ta’ żero.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A05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assolut ta’ dawn l-aġġustamenti tar-riskju ta’ kreditu ma għandux jaqbeż is-somma tar-ringieli 19 u 20.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A05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dawn l-aġġustamenti jnaqqsu l-kejl tal-iskopertura totali, l-istituzzjonijiet għandhom iqiegħdu l-valur f’din ir-ringiela bejn il-parentesi (ammont negattiv).</w:t>
            </w:r>
          </w:p>
          <w:p w14:paraId="69E0A05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L-ammont iddikjarat għandu jiġi inkluż ukoll fiċ-ċelloli applikabbli hawn fuq daqslikieku ma kienx japplika dan it-tnaqqis.</w:t>
            </w:r>
          </w:p>
        </w:tc>
      </w:tr>
      <w:tr w:rsidR="002312DE" w:rsidRPr="007717F5" w14:paraId="69E0A066" w14:textId="77777777" w:rsidTr="009F3999">
        <w:trPr>
          <w:trHeight w:val="805"/>
        </w:trPr>
        <w:tc>
          <w:tcPr>
            <w:tcW w:w="1380" w:type="dxa"/>
            <w:vAlign w:val="center"/>
          </w:tcPr>
          <w:p w14:paraId="69E0A06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22</w:t>
            </w:r>
          </w:p>
        </w:tc>
        <w:tc>
          <w:tcPr>
            <w:tcW w:w="7659" w:type="dxa"/>
          </w:tcPr>
          <w:p w14:paraId="69E0A06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mhux fil-karta bilanċjali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A063" w14:textId="6F18296A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429f, 111(2) u 166(9) tar-Regolament (UE) Nru 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somma tar-ringieli minn 19 sa 21</w:t>
            </w:r>
          </w:p>
          <w:p w14:paraId="69E0A064" w14:textId="0E2CBC56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il-valuri tal-iskopertura tal-proporzjon tal-ingranaġġ għall-elementi barra mill-karta bilanċjali iddeterminati f’konformità mal-Artikolu 429f tar-Regolament (UE) Nru 575/2013 filwaqt li jqisu l-fatturi ta’ konverżjoni rilevanti.</w:t>
            </w:r>
          </w:p>
          <w:p w14:paraId="69E0A06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iqisu li r-ringieli 20-21 tal-mudell EU LR2 - LRCom jikkontribwixxu b’mod negattiv fil-kalkolu ta’ din is-somma.</w:t>
            </w:r>
          </w:p>
        </w:tc>
      </w:tr>
      <w:tr w:rsidR="002312DE" w:rsidRPr="007717F5" w14:paraId="69E0A06D" w14:textId="77777777" w:rsidTr="009F3999">
        <w:trPr>
          <w:trHeight w:val="274"/>
        </w:trPr>
        <w:tc>
          <w:tcPr>
            <w:tcW w:w="1380" w:type="dxa"/>
            <w:vAlign w:val="center"/>
          </w:tcPr>
          <w:p w14:paraId="69E0A06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 a</w:t>
            </w:r>
          </w:p>
        </w:tc>
        <w:tc>
          <w:tcPr>
            <w:tcW w:w="7659" w:type="dxa"/>
          </w:tcPr>
          <w:p w14:paraId="69E0A068" w14:textId="0CF9C8C3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(Skoperturi esklużi mill-kejl tal-iskopertura totali f’konformità mal-Artikolu 429a(1), il-punt (c) tas-CRR)</w:t>
            </w:r>
          </w:p>
          <w:p w14:paraId="69E0A069" w14:textId="2F97EDE8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429a(1), il-punti (c) u (ca) u l-Artikolu 113(6) u (7) tar-Regolament (UE) Nru 575/2013.</w:t>
            </w:r>
          </w:p>
          <w:p w14:paraId="69E0A06A" w14:textId="6AAFB10F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l-iskoperturi eżentati f’konformità mal-punti (c) u (ca) tal-Artikolu 429a(1).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  <w:p w14:paraId="69E0A06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iddivulgat għandu jkun inkluż ukoll fiċ-ċelloli applikabbli hawn fuq daqslikieku ma tapplika l-ebda eżenzjoni.</w:t>
            </w:r>
          </w:p>
          <w:p w14:paraId="69E0A06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dan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74" w14:textId="77777777" w:rsidTr="009F3999">
        <w:trPr>
          <w:trHeight w:val="129"/>
        </w:trPr>
        <w:tc>
          <w:tcPr>
            <w:tcW w:w="1380" w:type="dxa"/>
            <w:vAlign w:val="center"/>
          </w:tcPr>
          <w:p w14:paraId="69E0A06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EU-22b</w:t>
            </w:r>
          </w:p>
        </w:tc>
        <w:tc>
          <w:tcPr>
            <w:tcW w:w="7659" w:type="dxa"/>
          </w:tcPr>
          <w:p w14:paraId="69E0A06F" w14:textId="728EA21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(Skoperturi eżentati f’konformità mal-Artikolu </w:t>
            </w:r>
            <w:r>
              <w:rPr>
                <w:sz w:val="24"/>
                <w:b/>
                <w:rFonts w:ascii="Times New Roman" w:hAnsi="Times New Roman"/>
              </w:rPr>
              <w:t xml:space="preserve">429a(1)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 il-punt (j) tas-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CRR (li jidhru u li ma jidhrux fil-karta bilanċjali))</w:t>
            </w:r>
          </w:p>
          <w:p w14:paraId="69E0A070" w14:textId="54EAFC03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429a(1), il-punt (j) tar-Regolament (UE) Nru 575/2013.</w:t>
            </w:r>
          </w:p>
          <w:p w14:paraId="69E0A071" w14:textId="1B152033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l-iskoperturi eżentati f’konformità mal-Artikolu 429a(1, il-punt (j) tar-Regolament (UE) Nru 575/2013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soġġetti għall-issodisfar tal-kundizzjonijiet iddikjarati fih.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E0A07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iddikjarat għandu jkun inkluż ukoll fiċ-ċelloli applikabbli hawn fuq daqslikieku ma tapplika l-ebda eżenzjoni.</w:t>
            </w:r>
          </w:p>
          <w:p w14:paraId="69E0A07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7A" w14:textId="77777777" w:rsidTr="009F3999">
        <w:trPr>
          <w:trHeight w:val="1535"/>
        </w:trPr>
        <w:tc>
          <w:tcPr>
            <w:tcW w:w="1380" w:type="dxa"/>
            <w:vAlign w:val="center"/>
          </w:tcPr>
          <w:p w14:paraId="69E0A07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EU-22c</w:t>
            </w:r>
          </w:p>
        </w:tc>
        <w:tc>
          <w:tcPr>
            <w:tcW w:w="7659" w:type="dxa"/>
          </w:tcPr>
          <w:p w14:paraId="69E0A07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(Skoperturi esklużi ta’ banek (jew unitajiet) tal-iżvilupp pubbliku – Investimenti tas-settur pubbliku)</w:t>
            </w:r>
          </w:p>
          <w:p w14:paraId="69E0A077" w14:textId="34D93777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429a(1) u l-Artikolu 429a(2), il-punt (d) tar-Regolament (UE) Nru 575/2013.</w:t>
            </w:r>
          </w:p>
          <w:p w14:paraId="69E0A078" w14:textId="456706A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li jirriżultaw minn assi li jikkostitwixxu pretensjonijiet fuq gvernijiet ċentrali, gvernijiet reġjonali, awtoritajiet lokali jew entitajiet tas-settur pubbliku fir-rigward ta’ investimenti fis-settur pubbliku, li jistgħu jiġu esklużi f’konformità mal-Artikolu 429a(1), il-punt (d)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għandha tinkludi biss każijiet li fihom l-istituzzjoni tkun istituzzjoni ta’ kreditu tal-iżvilupp pubbliku, jew l-iskoperturi jkunu miżmuma f’unità ttrattata bħala unità tal-iżvilupp pubbliku f’konformità mal-aħħar subparagrafu tal-Artikolu 429a(2) tar-Regolament (UE) Nru 575/2013.</w:t>
            </w:r>
          </w:p>
          <w:p w14:paraId="69E0A07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iċ-ċellola bejn il-parentesi (ammont negattiv).</w:t>
            </w:r>
          </w:p>
        </w:tc>
      </w:tr>
      <w:tr w:rsidR="002312DE" w:rsidRPr="007717F5" w14:paraId="69E0A080" w14:textId="77777777" w:rsidTr="009F3999">
        <w:trPr>
          <w:trHeight w:val="1535"/>
        </w:trPr>
        <w:tc>
          <w:tcPr>
            <w:tcW w:w="1380" w:type="dxa"/>
            <w:vAlign w:val="center"/>
          </w:tcPr>
          <w:p w14:paraId="69E0A07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EU-22d</w:t>
            </w:r>
          </w:p>
        </w:tc>
        <w:tc>
          <w:tcPr>
            <w:tcW w:w="7659" w:type="dxa"/>
          </w:tcPr>
          <w:p w14:paraId="69E0A07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(Skoperturi esklużi ta’ banek (jew unitajiet) tal-iżvilupp pubbliku – Self promozzjonali)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9E0A07D" w14:textId="1C75F228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(d) tal-Artikolu 429a(1) u l-Artikolu 429a(2) tar-Regolament (UE) Nru 575/2013.</w:t>
            </w:r>
          </w:p>
          <w:p w14:paraId="69E0A07E" w14:textId="10B322CB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is-self promozzjonali eskluż f’konformità mal-Artikolu 429a(1) il-punt (d)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għandha tinkludi biss każijiet li fihom l-istituzzjoni tkun istituzzjoni ta’ kreditu tal-iżvilupp pubbliku jew is-self promozzjonali jkun miżmum f’unità ttrattata bħala unità tal-iżvilupp pubbliku f’konformità mal-aħħar subparagrafu tal-Artikolu 429a(2) tar-Regolament (UE) Nru 575/2013.</w:t>
            </w:r>
          </w:p>
          <w:p w14:paraId="69E0A07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86" w14:textId="77777777" w:rsidTr="009F3999">
        <w:trPr>
          <w:trHeight w:val="1535"/>
        </w:trPr>
        <w:tc>
          <w:tcPr>
            <w:tcW w:w="1380" w:type="dxa"/>
            <w:vAlign w:val="center"/>
          </w:tcPr>
          <w:p w14:paraId="69E0A08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EU-22e</w:t>
            </w:r>
          </w:p>
        </w:tc>
        <w:tc>
          <w:tcPr>
            <w:tcW w:w="7659" w:type="dxa"/>
          </w:tcPr>
          <w:p w14:paraId="69E0A08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(Eskluż it-trasferiment ta’ skoperturi ta’ self promozzjonali minn banek mhux għall-iżvilupp pubbliku (jew unitajiet))</w:t>
            </w:r>
          </w:p>
          <w:p w14:paraId="69E0A083" w14:textId="434A873C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Il-punt (e) tal-Artikolu 429a(1) tar-Regolament (UE) Nru 575/2013.</w:t>
            </w:r>
          </w:p>
          <w:p w14:paraId="69E0A084" w14:textId="540FB7A1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l-iskoperturi esklużi f’konformità mal-Artikolu 429a(1), il-punt (e) tar-Regolament (UE) Nru 575/2013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relatati mal-partijiet tal-iskoperturi li jirriżultaw minn self promozzjonali ttrasferit lil istituzzjonijiet ta’ kreditu oħrajn.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Din għandha tinkludi biss każijiet li fihom l-istituzzjoni ma tkunx istituzzjoni ta’ kreditu tal-iżvilupp pubbliku u l-attività ma tkunx ma’ xi unità ttrattata bħala unità tal-iżvilupp pubbliku f’konformità mal-aħħar subparagrafu tal-Artikolu 429a(2) tar-Regolament (UE) Nru 575/2013.</w:t>
            </w:r>
          </w:p>
          <w:p w14:paraId="69E0A08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8C" w14:textId="77777777" w:rsidTr="009F3999">
        <w:trPr>
          <w:trHeight w:val="1535"/>
        </w:trPr>
        <w:tc>
          <w:tcPr>
            <w:tcW w:w="1380" w:type="dxa"/>
            <w:vAlign w:val="center"/>
          </w:tcPr>
          <w:p w14:paraId="69E0A08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EU-22f</w:t>
            </w:r>
          </w:p>
        </w:tc>
        <w:tc>
          <w:tcPr>
            <w:tcW w:w="7659" w:type="dxa"/>
          </w:tcPr>
          <w:p w14:paraId="69E0A08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(Esklużi partijiet garantiti ta’ skoperturi li jirriżultaw minn krediti għall-esportazzjoni)</w:t>
            </w:r>
          </w:p>
          <w:p w14:paraId="69E0A089" w14:textId="7A04873B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Il-punt (f) tal-Artikolu 429a(1) tar-Regolament (UE) Nru 575/2013.</w:t>
            </w:r>
          </w:p>
          <w:p w14:paraId="69E0A08A" w14:textId="0F5C8BC6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Il-partijiet garantiti tal-iskoperturi li jirriżultaw minn krediti għall-esportazzjoni li jistgħu jiġu esklużi meta </w:t>
            </w:r>
            <w:r>
              <w:rPr>
                <w:color w:val="auto"/>
                <w:sz w:val="24"/>
                <w:sz w:val="24"/>
                <w:rFonts w:ascii="Times New Roman" w:hAnsi="Times New Roman"/>
              </w:rPr>
              <w:t xml:space="preserve">jiġu ssodisfati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l-kundizzjonijiet tal-Artikolu 429a(1), il-punt (f) tar-Regolament (UE) Nru 575/2013.</w:t>
            </w:r>
          </w:p>
          <w:p w14:paraId="69E0A08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92" w14:textId="77777777" w:rsidTr="009F3999">
        <w:trPr>
          <w:trHeight w:val="1535"/>
        </w:trPr>
        <w:tc>
          <w:tcPr>
            <w:tcW w:w="1380" w:type="dxa"/>
            <w:vAlign w:val="center"/>
          </w:tcPr>
          <w:p w14:paraId="69E0A08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EU-22g</w:t>
            </w:r>
          </w:p>
        </w:tc>
        <w:tc>
          <w:tcPr>
            <w:tcW w:w="7659" w:type="dxa"/>
          </w:tcPr>
          <w:p w14:paraId="69E0A08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(Eskluż kollateral eċċessiv depożitat ma’ aġenti tripartitiċi)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9E0A08F" w14:textId="6C6AE692" w:rsidR="00646595" w:rsidRPr="007717F5" w:rsidRDefault="00646595" w:rsidP="00E9371F">
            <w:pPr>
              <w:pStyle w:val="BodyText1"/>
              <w:spacing w:after="120" w:line="240" w:lineRule="auto"/>
              <w:rPr>
                <w:bCs/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Il-punt (k) tal-Artikolu 429a(1) tar-Regolament (UE) Nru 575/2013.</w:t>
            </w:r>
          </w:p>
          <w:p w14:paraId="69E0A090" w14:textId="47830AB0" w:rsidR="00646595" w:rsidRPr="007717F5" w:rsidRDefault="00646595" w:rsidP="5E9D3914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Il-kollateral eċċessiv iddepożitat ma’ aġenti tripartitiċi li ma jkunx ingħata b’self, li jista’ jiġi eskluż f’konformità mal-Artikolu 429a(1), il-punt (k) tar-Regolament (UE) Nru 575/2013.</w:t>
            </w:r>
          </w:p>
          <w:p w14:paraId="69E0A09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98" w14:textId="77777777" w:rsidTr="009F3999">
        <w:trPr>
          <w:trHeight w:val="1535"/>
        </w:trPr>
        <w:tc>
          <w:tcPr>
            <w:tcW w:w="1380" w:type="dxa"/>
            <w:vAlign w:val="center"/>
          </w:tcPr>
          <w:p w14:paraId="69E0A09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EU-22h</w:t>
            </w:r>
          </w:p>
        </w:tc>
        <w:tc>
          <w:tcPr>
            <w:tcW w:w="7659" w:type="dxa"/>
          </w:tcPr>
          <w:p w14:paraId="69E0A09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(Esklużi servizzi relatati mas-CSD ta’ CSD/istituzzjonijiet f’konformità mal-punt (o) tal-Artikolu 429a(1) CRR)</w:t>
            </w:r>
          </w:p>
          <w:p w14:paraId="69E0A095" w14:textId="24D1D6B8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L-Artikolu 429a(1), il-punt (o) tar-Regolament (UE) Nru 575/2013.</w:t>
            </w:r>
          </w:p>
          <w:p w14:paraId="69E0A096" w14:textId="7175E89B" w:rsidR="00646595" w:rsidRPr="007717F5" w:rsidRDefault="00646595" w:rsidP="007717F5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Is-servizzi relatati mad-Depożitorji Ċentrali tat-Titoli (CSD) ta’ CSD/istituzzjonijiet li jistgħu jiġu esklużi f’konformità mal-Artikolu 429a(1), il-punt (o) tar-Regolament (UE) Nru 575/2013.</w:t>
            </w:r>
          </w:p>
          <w:p w14:paraId="69E0A097" w14:textId="77777777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eastAsia="Book Antiqua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9E" w14:textId="77777777" w:rsidTr="009F3999">
        <w:trPr>
          <w:trHeight w:val="895"/>
        </w:trPr>
        <w:tc>
          <w:tcPr>
            <w:tcW w:w="1380" w:type="dxa"/>
            <w:vAlign w:val="center"/>
          </w:tcPr>
          <w:p w14:paraId="69E0A09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EU-22i</w:t>
            </w:r>
          </w:p>
        </w:tc>
        <w:tc>
          <w:tcPr>
            <w:tcW w:w="7659" w:type="dxa"/>
          </w:tcPr>
          <w:p w14:paraId="69E0A09A" w14:textId="53696776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bCs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(Servizzi esklużi relatati mas-CSD ta’ istituzzjonijiet iddeżinjati f’konformità mal-Artikolu 429a(1), il-punt (p) tas-CRR)</w:t>
            </w:r>
          </w:p>
          <w:p w14:paraId="69E0A09B" w14:textId="267E29F1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L-Artikolu 429a(1), il-punt (p) tar-Regolament (UE) Nru 575/2013.</w:t>
            </w:r>
          </w:p>
          <w:p w14:paraId="69E0A09C" w14:textId="34A37CD9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Is-servizzi relatati mas-CSD ta’ istituzzjonijiet deżinjati li jistgħu jiġu esklużi f’konformità mal-Artikolu 429a(1), il-punt (p) tar-Regolament (UE) Nru 575/2013.</w:t>
            </w:r>
          </w:p>
          <w:p w14:paraId="69E0A09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A4" w14:textId="77777777" w:rsidTr="009F3999">
        <w:trPr>
          <w:trHeight w:val="1535"/>
        </w:trPr>
        <w:tc>
          <w:tcPr>
            <w:tcW w:w="1380" w:type="dxa"/>
            <w:vAlign w:val="center"/>
          </w:tcPr>
          <w:p w14:paraId="69E0A09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EU-22j</w:t>
            </w:r>
          </w:p>
        </w:tc>
        <w:tc>
          <w:tcPr>
            <w:tcW w:w="7659" w:type="dxa"/>
          </w:tcPr>
          <w:p w14:paraId="69E0A0A0" w14:textId="77777777" w:rsidR="00646595" w:rsidRPr="007717F5" w:rsidRDefault="00646595" w:rsidP="00E9371F">
            <w:pPr>
              <w:pStyle w:val="BodyText1"/>
              <w:spacing w:after="120" w:line="240" w:lineRule="auto"/>
              <w:rPr>
                <w:b/>
                <w:bCs/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b/>
                <w:color w:val="auto"/>
                <w:sz w:val="24"/>
                <w:rFonts w:ascii="Times New Roman" w:hAnsi="Times New Roman"/>
              </w:rPr>
              <w:t xml:space="preserve">(Tnaqqis tal-valur tal-iskopertura ta’ prefinanzjament jew self intermedju)</w:t>
            </w:r>
            <w:r>
              <w:rPr>
                <w:b/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A0A1" w14:textId="7EF951CB" w:rsidR="00646595" w:rsidRPr="007717F5" w:rsidRDefault="00646595" w:rsidP="00E9371F">
            <w:pPr>
              <w:pStyle w:val="BodyText1"/>
              <w:spacing w:after="120" w:line="240" w:lineRule="auto"/>
              <w:rPr>
                <w:bCs/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L-Artikolu 429(8) tar-Regolament (UE) Nru 575/2013.</w:t>
            </w:r>
          </w:p>
          <w:p w14:paraId="69E0A0A2" w14:textId="3DC3C518" w:rsidR="00646595" w:rsidRPr="007717F5" w:rsidRDefault="00646595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L-ammont imnaqqas mill-valur tal-iskopertura ta’ self ta’ prefinanzjament jew ta’ self intermedju, f’konformità mal-Artikolu 429(8) tar-Regolament (UE) Nru 575/2013.</w:t>
            </w:r>
          </w:p>
          <w:p w14:paraId="69E0A0A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5DC38D05" w14:textId="77777777" w:rsidTr="009F3999">
        <w:trPr>
          <w:trHeight w:val="1448"/>
        </w:trPr>
        <w:tc>
          <w:tcPr>
            <w:tcW w:w="1380" w:type="dxa"/>
            <w:vAlign w:val="center"/>
          </w:tcPr>
          <w:p w14:paraId="3EB06772" w14:textId="3AE8DEF1" w:rsidR="0091769B" w:rsidRPr="007717F5" w:rsidRDefault="0091769B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EU-22k</w:t>
            </w:r>
          </w:p>
        </w:tc>
        <w:tc>
          <w:tcPr>
            <w:tcW w:w="7659" w:type="dxa"/>
          </w:tcPr>
          <w:p w14:paraId="4DE37801" w14:textId="51ED08A8" w:rsidR="0091769B" w:rsidRPr="007717F5" w:rsidRDefault="43B7BE0A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bCs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(Skoperturi esklużi għall-azzjonisti skont l-Artikolu 429a, (1), il-punt (da) CRR)</w:t>
            </w:r>
          </w:p>
          <w:p w14:paraId="407F3CD9" w14:textId="61346D61" w:rsidR="001E11E0" w:rsidRPr="007717F5" w:rsidRDefault="641FC896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429a(1), il-punt (da) tar-Regolament (UE) Nru 575/2013.</w:t>
            </w:r>
          </w:p>
          <w:p w14:paraId="107D6280" w14:textId="4AFC1128" w:rsidR="006E679B" w:rsidRPr="007717F5" w:rsidRDefault="003116BB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Cs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7203309B" w14:textId="77777777" w:rsidTr="009F3999">
        <w:trPr>
          <w:trHeight w:val="1448"/>
        </w:trPr>
        <w:tc>
          <w:tcPr>
            <w:tcW w:w="1380" w:type="dxa"/>
            <w:vAlign w:val="center"/>
          </w:tcPr>
          <w:p w14:paraId="522798DB" w14:textId="18FB2C45" w:rsidR="0091769B" w:rsidRPr="007717F5" w:rsidRDefault="007C100B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EU-22l</w:t>
            </w:r>
          </w:p>
        </w:tc>
        <w:tc>
          <w:tcPr>
            <w:tcW w:w="7659" w:type="dxa"/>
          </w:tcPr>
          <w:p w14:paraId="57CB95DF" w14:textId="33551E65" w:rsidR="0091769B" w:rsidRPr="007717F5" w:rsidRDefault="1447B6A2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bCs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(Skoperturi mnaqqsa f’konformità mal-Artikolu 429a(1), il-punt (q) tas-CRR)</w:t>
            </w:r>
          </w:p>
          <w:p w14:paraId="37A3A292" w14:textId="637BE1B4" w:rsidR="009346C3" w:rsidRPr="007717F5" w:rsidRDefault="6B7CBE0A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429a(1), il-punt (q) tas-CRR.</w:t>
            </w:r>
          </w:p>
          <w:p w14:paraId="541FEF4F" w14:textId="08C00207" w:rsidR="009346C3" w:rsidRPr="007717F5" w:rsidRDefault="009346C3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Cs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A9" w14:textId="77777777" w:rsidTr="009F3999">
        <w:trPr>
          <w:trHeight w:val="1448"/>
        </w:trPr>
        <w:tc>
          <w:tcPr>
            <w:tcW w:w="1380" w:type="dxa"/>
            <w:vAlign w:val="center"/>
          </w:tcPr>
          <w:p w14:paraId="69E0A0A5" w14:textId="228EAE81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EU-22m</w:t>
            </w:r>
          </w:p>
        </w:tc>
        <w:tc>
          <w:tcPr>
            <w:tcW w:w="7659" w:type="dxa"/>
          </w:tcPr>
          <w:p w14:paraId="69E0A0A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(Skoperturi esklużi totali)</w:t>
            </w:r>
          </w:p>
          <w:p w14:paraId="69E0A0A7" w14:textId="56C944DB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Somma tar-ringieli minn EU-22a sa EU-22l</w:t>
            </w:r>
          </w:p>
          <w:p w14:paraId="69E0A0A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Peress li l-ammont inaqqas il-kejl tal-iskopertura totali, l-istituzzjonijiet għandhom iqiegħdu l-valur f’din ir-ringiela bejn il-parentesi (ammont negattiv).</w:t>
            </w:r>
          </w:p>
        </w:tc>
      </w:tr>
      <w:tr w:rsidR="002312DE" w:rsidRPr="007717F5" w14:paraId="69E0A0B0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0A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23</w:t>
            </w:r>
          </w:p>
        </w:tc>
        <w:tc>
          <w:tcPr>
            <w:tcW w:w="7659" w:type="dxa"/>
          </w:tcPr>
          <w:p w14:paraId="69E0A0A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Kapital tal-Grad 1</w:t>
            </w:r>
          </w:p>
          <w:p w14:paraId="69E0A0AC" w14:textId="02637608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 429(3) u 499(1) u (2) tar-Regolament (UE) Nru 575/2013.</w:t>
            </w:r>
          </w:p>
          <w:p w14:paraId="69E0A0AD" w14:textId="3CB3B6A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ta’ kapital tal-Grad 1 ikkalkolat f’konformità mal-għażla li tkun għamlet l-istituzzjoni skont l-Artikolu 499(2) tar-Regolament (UE) Nru 575/2013, kif iddikjarat fir-ringiela EU-27 tal-Mudell EU LR2 - LRCom.</w:t>
            </w:r>
          </w:p>
          <w:p w14:paraId="69E0A0AE" w14:textId="71D2189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B’mod aktar speċifiku, meta l-istituzzjoni tkun għażlet li tiddivulga l-kapital tal-Grad 1 f’konformità mal-Artikolu 499(1), il-punt (a) tar-Regolament (UE) Nru 575/2013, din għandha tiddivulga l-ammont ta’ kapital tal-Grad 1 kif ikkalkulat f’konformità mal-Artikolu 25 tar-Regolament (UE) Nru 575/2013, mingħajr ma jitqiesu d-derogi stipulati fil-Kapitoli 1 u 2 tat-Titolu I tal-Parti 10 tar-Regolament (UE) Nru 575/2013.</w:t>
            </w:r>
          </w:p>
          <w:p w14:paraId="69E0A0AF" w14:textId="78E4F44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Kuntrarjament, meta l-istituzzjoni tkun għażlet li tiddivulga l-kapital tal-Grad 1 f’konformità mal-Artikolu 499(1), il-punt (b) tar-Regolament (UE) Nru 575/2013, din għandha tiddivulga l-ammont ta’ kapital tal-Grad I kif ikkalkulat f’konformità mal-Artikolu 25 tar-Regolament (UE) Nru 575/2013, wara li jitqiesu d-derogi stabbiliti fil-kapitali 1 u 2 tat-Titolu I tal-Parti 10 tar-Regolament (UE) Nru 575/2013.</w:t>
            </w:r>
          </w:p>
        </w:tc>
      </w:tr>
      <w:tr w:rsidR="002312DE" w:rsidRPr="007717F5" w14:paraId="69E0A0B4" w14:textId="77777777" w:rsidTr="009F3999">
        <w:trPr>
          <w:trHeight w:val="685"/>
        </w:trPr>
        <w:tc>
          <w:tcPr>
            <w:tcW w:w="1380" w:type="dxa"/>
            <w:vAlign w:val="center"/>
          </w:tcPr>
          <w:p w14:paraId="69E0A0B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24</w:t>
            </w:r>
          </w:p>
        </w:tc>
        <w:tc>
          <w:tcPr>
            <w:tcW w:w="7659" w:type="dxa"/>
          </w:tcPr>
          <w:p w14:paraId="69E0A0B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Il-kejl tal-iskopertura totali</w:t>
            </w: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A0B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color w:val="auto"/>
                <w:rFonts w:ascii="Times New Roman" w:hAnsi="Times New Roman"/>
              </w:rPr>
              <w:t xml:space="preserve">Somma tal-ammonti fir-ringieli 7, 13, 18, 22, u EU-22k ta’</w:t>
            </w:r>
            <w:r>
              <w:rPr>
                <w:sz w:val="24"/>
                <w:rFonts w:ascii="Times New Roman" w:hAnsi="Times New Roman"/>
              </w:rPr>
              <w:t xml:space="preserve"> EU LR2 - LRCom</w:t>
            </w:r>
          </w:p>
        </w:tc>
      </w:tr>
      <w:tr w:rsidR="002312DE" w:rsidRPr="007717F5" w14:paraId="69E0A0B8" w14:textId="77777777" w:rsidTr="009F3999">
        <w:trPr>
          <w:trHeight w:val="1164"/>
        </w:trPr>
        <w:tc>
          <w:tcPr>
            <w:tcW w:w="1380" w:type="dxa"/>
            <w:vAlign w:val="center"/>
          </w:tcPr>
          <w:p w14:paraId="69E0A0B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</w:t>
            </w:r>
          </w:p>
        </w:tc>
        <w:tc>
          <w:tcPr>
            <w:tcW w:w="7659" w:type="dxa"/>
          </w:tcPr>
          <w:p w14:paraId="69E0A0B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Proporzjon ta’ ingranaġġ (%)</w:t>
            </w:r>
          </w:p>
          <w:p w14:paraId="69E0A0B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l-ammont fir-ringiela 23 tal-mudell EU LR2 - LRCom espress bħala perċentwal tal-ammont fir-ringiela 24 tal-mudell EU LR2 - LRCom.</w:t>
            </w:r>
          </w:p>
        </w:tc>
      </w:tr>
      <w:tr w:rsidR="002312DE" w:rsidRPr="007717F5" w14:paraId="69E0A0BC" w14:textId="77777777" w:rsidTr="009F3999">
        <w:trPr>
          <w:trHeight w:val="1890"/>
        </w:trPr>
        <w:tc>
          <w:tcPr>
            <w:tcW w:w="1380" w:type="dxa"/>
            <w:vAlign w:val="center"/>
          </w:tcPr>
          <w:p w14:paraId="69E0A0B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UE EU-25</w:t>
            </w:r>
          </w:p>
        </w:tc>
        <w:tc>
          <w:tcPr>
            <w:tcW w:w="7659" w:type="dxa"/>
          </w:tcPr>
          <w:p w14:paraId="69E0A0B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Proporzjon ta’ ingranaġġ (eskluż l-impatt tal-eżenzjoni tal-investimenti fis-settur pubbliku u ta’ self promozzjonali) (%)</w:t>
            </w:r>
          </w:p>
          <w:p w14:paraId="69E0A0BB" w14:textId="6C17F0EF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451(2) tar-Regolament (UE) Nru 575/2013, l-istituzzjonijiet ta’ kreditu tal-iżvilupp pubbliku kif iddefiniti fl-Artikolu 429a(2) tar-Regolament (UE) Nru 575/2013 għandhom jiddivulgaw il-proporzjon ta’ ingranaġġ mingħajr l-aġġustament għall-kejl tal-iskopertura totali ddeterminat f’konformità mal-Artikolu 429a(1), il-punt (d) tar-Regolament (UE) Nru 575/2013, jiġifieri l-aġġustament li huwa ddivulgat fir-ringieli EU-22c u EU-22d ta’ dan il-mudell.</w:t>
            </w:r>
          </w:p>
        </w:tc>
      </w:tr>
      <w:tr w:rsidR="002312DE" w:rsidRPr="007717F5" w14:paraId="69E0A0C1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0B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25a</w:t>
            </w:r>
          </w:p>
        </w:tc>
        <w:tc>
          <w:tcPr>
            <w:tcW w:w="7659" w:type="dxa"/>
            <w:vAlign w:val="center"/>
          </w:tcPr>
          <w:p w14:paraId="69E0A0B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ta’ ingranaġġ (eskluż l-impatt ta’ kwalunkwe eżenzjoni temporanja applikabbli tar-riżervi tal-bank ċentrali) (%)</w:t>
            </w:r>
          </w:p>
          <w:p w14:paraId="69E0A0BF" w14:textId="5660B49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il-kejl tal-iskopertura totali ta’ istituzzjoni jkun soġġett għall-eżenzjoni temporanja tar-riżervi tal-banek ċentrali stabbilita fl-Artikolu 429a(1), il-punt (n) tar-Regolament (UE) Nru 575/2013, dan il-proporzjon jiġi ddefinit bħala l-kalkolu tal-kapital tal-Grad 1 diviż bis-somma tal-kejl tal-iskopertura totali u tal-ammont tal-eżenzjoni tar-riżervi tal-banek ċentrali, b’dan il-proporzjon espress bħala perċentwal.</w:t>
            </w:r>
          </w:p>
          <w:p w14:paraId="69E0A0C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il-kejl tal-iskopertura totali tal-istituzzjoni ma jkunx soġġett għal eżenzjoni temporanja tar-riżervi tal-banek ċentrali, dan il-proporzjon ikun identiku għall-proporzjon iddivulgat fir-ringiela 25.</w:t>
            </w:r>
          </w:p>
        </w:tc>
      </w:tr>
      <w:tr w:rsidR="002312DE" w:rsidRPr="007717F5" w14:paraId="69E0A0C6" w14:textId="77777777" w:rsidTr="009F3999">
        <w:trPr>
          <w:trHeight w:val="1152"/>
        </w:trPr>
        <w:tc>
          <w:tcPr>
            <w:tcW w:w="1380" w:type="dxa"/>
            <w:vAlign w:val="center"/>
          </w:tcPr>
          <w:p w14:paraId="69E0A0C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26</w:t>
            </w:r>
          </w:p>
        </w:tc>
        <w:tc>
          <w:tcPr>
            <w:tcW w:w="7659" w:type="dxa"/>
            <w:vAlign w:val="center"/>
          </w:tcPr>
          <w:p w14:paraId="69E0A0C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 regolatorju tal-proporzjon minimu ta’ ingranaġġ (%)</w:t>
            </w:r>
          </w:p>
          <w:p w14:paraId="69E0A0C4" w14:textId="2CD9CB31" w:rsidR="00646595" w:rsidRPr="007717F5" w:rsidRDefault="00646595" w:rsidP="17C07D06">
            <w:pPr>
              <w:widowControl w:val="0"/>
              <w:spacing w:after="120"/>
              <w:jc w:val="both"/>
              <w:rPr>
                <w:sz w:val="24"/>
                <w:shd w:val="clear" w:color="auto" w:fill="FFFFFF"/>
                <w:rFonts w:ascii="Times New Roman" w:eastAsia="Book Antiqua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92(1), il-punt (d), 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l-Artikolu 429a(1),</w:t>
            </w:r>
            <w:r>
              <w:rPr>
                <w:sz w:val="24"/>
                <w:rFonts w:ascii="Times New Roman" w:hAnsi="Times New Roman"/>
              </w:rPr>
              <w:t xml:space="preserve">il-punt (n)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u l-Artikolu 429a(</w:t>
            </w:r>
            <w:r>
              <w:rPr>
                <w:sz w:val="24"/>
                <w:rFonts w:ascii="Times New Roman" w:hAnsi="Times New Roman"/>
              </w:rPr>
              <w:t xml:space="preserve">7) tar-Regolament (UE) Nru 575/2013.</w:t>
            </w:r>
          </w:p>
          <w:p w14:paraId="69E0A0C5" w14:textId="7127224C" w:rsidR="00646595" w:rsidRPr="007717F5" w:rsidRDefault="00646595" w:rsidP="17C07D06">
            <w:pPr>
              <w:tabs>
                <w:tab w:val="left" w:pos="400"/>
              </w:tabs>
              <w:spacing w:after="120"/>
              <w:jc w:val="both"/>
              <w:rPr>
                <w:sz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L-istituzzjonijiet għandhom jiddivulgaw ir-rekwiżit tal-proporzjon ta’ ingranaġġ kif stabbilit fl-Artikolu 92(1), </w:t>
            </w:r>
            <w:r>
              <w:rPr>
                <w:sz w:val="24"/>
                <w:rFonts w:ascii="Times New Roman" w:hAnsi="Times New Roman"/>
              </w:rPr>
              <w:t xml:space="preserve">il-punt (d) tar-Regolament (UE) Nru 575/2013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.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 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Meta istituzzjoni teskludi l-iskoperturi msemmija fl-Artikolu 429a(1), </w:t>
            </w:r>
            <w:r>
              <w:rPr>
                <w:sz w:val="24"/>
                <w:rFonts w:ascii="Times New Roman" w:hAnsi="Times New Roman"/>
              </w:rPr>
              <w:t xml:space="preserve">il-punt (n) tar-Regolament (UE) Nru 575/2013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, hija għandha tiddivulga r-rekwiżit tal-proporzjon ta’ ingranaġġ aġġustat ikkalkolat f’konformità mal-Artikolu 429a(7) </w:t>
            </w:r>
            <w:r>
              <w:rPr>
                <w:sz w:val="24"/>
                <w:rFonts w:ascii="Times New Roman" w:hAnsi="Times New Roman"/>
              </w:rPr>
              <w:t xml:space="preserve"> tar-Regolament (UE) Nru 575/2013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.</w:t>
            </w:r>
          </w:p>
        </w:tc>
      </w:tr>
      <w:tr w:rsidR="002312DE" w:rsidRPr="007717F5" w14:paraId="69E0A0CA" w14:textId="77777777" w:rsidTr="009F3999">
        <w:trPr>
          <w:trHeight w:val="1792"/>
        </w:trPr>
        <w:tc>
          <w:tcPr>
            <w:tcW w:w="1380" w:type="dxa"/>
            <w:vAlign w:val="center"/>
          </w:tcPr>
          <w:p w14:paraId="69E0A0C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EU-26 a</w:t>
            </w:r>
          </w:p>
        </w:tc>
        <w:tc>
          <w:tcPr>
            <w:tcW w:w="7659" w:type="dxa"/>
          </w:tcPr>
          <w:p w14:paraId="69E0A0C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addizzjonali ta’ fondi proprji biex jiġi indirizzat ir-riskju ta’ ingranaġġ eċċessiv (%)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9E0A0C9" w14:textId="055BB86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addizzjonali sabiex jiġi indirizzat ir-riskju ta’ ingranaġġ eċċessiv impost mill-awtorità kompetenti skont l-Artikolu 104(1), il-punt (a) tad-Direttiva 2013/36/UE (“CRD”), espressi bħala perċentwal tal-kejl tal-iskopertura totali</w:t>
            </w:r>
          </w:p>
        </w:tc>
      </w:tr>
      <w:tr w:rsidR="002312DE" w:rsidRPr="007717F5" w14:paraId="69E0A0CE" w14:textId="77777777" w:rsidTr="009F3999">
        <w:trPr>
          <w:trHeight w:val="1691"/>
        </w:trPr>
        <w:tc>
          <w:tcPr>
            <w:tcW w:w="1380" w:type="dxa"/>
            <w:vAlign w:val="center"/>
          </w:tcPr>
          <w:p w14:paraId="69E0A0C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EU-26b</w:t>
            </w:r>
          </w:p>
        </w:tc>
        <w:tc>
          <w:tcPr>
            <w:tcW w:w="7659" w:type="dxa"/>
          </w:tcPr>
          <w:p w14:paraId="69E0A0C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    </w:t>
            </w:r>
            <w:r>
              <w:rPr>
                <w:b/>
                <w:sz w:val="24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iridu jkunu magħmula minn kapital tas-CET1 ta’ ekwità komuni (punti perċentwali)</w:t>
            </w:r>
          </w:p>
          <w:p w14:paraId="69E0A0CD" w14:textId="529DADB5" w:rsidR="00646595" w:rsidRPr="007717F5" w:rsidRDefault="00646595" w:rsidP="17C07D06">
            <w:pPr>
              <w:spacing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tar-rekwiżiti ta’ fondi proprji addizzjonali sabiex jiġi indirizzat ir-riskju ta’ ingranaġġ eċċessiv imposti mill-awtorità kompetenti skont l-Artikolu 104(1), il-punt (a) tad-Direttiva 2013/36/UE, trid tiġi ssodisfata bil-kapital tas-CET1 f’konformità mat-tielet subparagrafu tal-Artikolu 104a(4)</w:t>
            </w:r>
          </w:p>
        </w:tc>
      </w:tr>
      <w:tr w:rsidR="002312DE" w:rsidRPr="007717F5" w14:paraId="69E0A0D3" w14:textId="77777777" w:rsidTr="009F3999">
        <w:trPr>
          <w:trHeight w:val="1290"/>
        </w:trPr>
        <w:tc>
          <w:tcPr>
            <w:tcW w:w="1380" w:type="dxa"/>
            <w:vAlign w:val="center"/>
          </w:tcPr>
          <w:p w14:paraId="69E0A0C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27</w:t>
            </w:r>
          </w:p>
        </w:tc>
        <w:tc>
          <w:tcPr>
            <w:tcW w:w="7659" w:type="dxa"/>
          </w:tcPr>
          <w:p w14:paraId="69E0A0D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 ta’ bafer għall-proporzjon ta’ ingranaġġ (%)</w:t>
            </w:r>
          </w:p>
          <w:p w14:paraId="69E0A0D1" w14:textId="486B2CA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 92(1a) tar-Regolament (UE) Nru 575/2013</w:t>
            </w:r>
          </w:p>
          <w:p w14:paraId="69E0A0D2" w14:textId="31B8712A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u w:val="single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huma soġġetti għall-Artikolu 92(1a) tar-Regolament (UE) Nru 575/2013 għandhom jiddivulgaw ir-rekwiżit tal-buffer għall-proporzjon ta’ lieva finanzjarja applikabbli tagħhom.</w:t>
            </w:r>
          </w:p>
        </w:tc>
      </w:tr>
      <w:tr w:rsidR="002312DE" w:rsidRPr="007717F5" w14:paraId="69E0A0D7" w14:textId="77777777" w:rsidTr="009F3999">
        <w:trPr>
          <w:trHeight w:val="816"/>
        </w:trPr>
        <w:tc>
          <w:tcPr>
            <w:tcW w:w="1380" w:type="dxa"/>
            <w:vAlign w:val="center"/>
          </w:tcPr>
          <w:p w14:paraId="69E0A0D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EU-27 a</w:t>
            </w:r>
          </w:p>
        </w:tc>
        <w:tc>
          <w:tcPr>
            <w:tcW w:w="7659" w:type="dxa"/>
          </w:tcPr>
          <w:p w14:paraId="69E0A0D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b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 ġenerali tal-proporzjon ta’ ingranaġġ (%)</w:t>
            </w:r>
          </w:p>
          <w:p w14:paraId="69E0A0D6" w14:textId="77777777" w:rsidR="00646595" w:rsidRPr="007717F5" w:rsidDel="00C013A0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left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26, EU-26a, u 27 ta’ dan il-mudell</w:t>
            </w:r>
          </w:p>
        </w:tc>
      </w:tr>
      <w:tr w:rsidR="002312DE" w:rsidRPr="007717F5" w14:paraId="69E0A0DE" w14:textId="77777777" w:rsidTr="009F3999">
        <w:trPr>
          <w:trHeight w:val="416"/>
        </w:trPr>
        <w:tc>
          <w:tcPr>
            <w:tcW w:w="1380" w:type="dxa"/>
            <w:vAlign w:val="center"/>
          </w:tcPr>
          <w:p w14:paraId="69E0A0D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EU-27b</w:t>
            </w:r>
          </w:p>
        </w:tc>
        <w:tc>
          <w:tcPr>
            <w:tcW w:w="7659" w:type="dxa"/>
          </w:tcPr>
          <w:p w14:paraId="69E0A0D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Għażla dwar arranġamenti tranżitorji għad-definizzjoni tal-kalkolu tal-kapital</w:t>
            </w:r>
          </w:p>
          <w:p w14:paraId="69E0A0DA" w14:textId="2FF0548B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499(2) tar-Regolament (UE) Nru 575/2013</w:t>
            </w:r>
          </w:p>
          <w:p w14:paraId="69E0A0D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jispeċifikaw l-għażla tagħhom ta’ arranġamenti tranżizzjonali għall-kapital għall-fini ta’ rekwiżiti ta’ divulgazzjoni billi jiddivulgaw waħda miż-żewġ tikketti li ġejjin:</w:t>
            </w:r>
          </w:p>
          <w:p w14:paraId="69E0A0DC" w14:textId="34025D5D" w:rsidR="00646595" w:rsidRPr="007717F5" w:rsidRDefault="00646595" w:rsidP="00646595">
            <w:pPr>
              <w:pStyle w:val="Teksttreci0"/>
              <w:numPr>
                <w:ilvl w:val="0"/>
                <w:numId w:val="2"/>
              </w:numPr>
              <w:shd w:val="clear" w:color="auto" w:fill="auto"/>
              <w:tabs>
                <w:tab w:val="left" w:pos="363"/>
              </w:tabs>
              <w:spacing w:after="120" w:line="240" w:lineRule="auto"/>
              <w:ind w:left="360" w:hanging="36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“Introdott b’mod gradwali kompletament” jekk l-istituzzjoni tagħżel li tiddivulga l-proporzjon ta’ ingranaġġ f’konformità mal-Artikolu 499(1), il-punt (a) tar-Regolament (UE) Nru 575/2013;</w:t>
            </w:r>
          </w:p>
          <w:p w14:paraId="69E0A0DD" w14:textId="637F29B6" w:rsidR="00646595" w:rsidRPr="007717F5" w:rsidRDefault="00646595" w:rsidP="00646595">
            <w:pPr>
              <w:pStyle w:val="Teksttreci0"/>
              <w:numPr>
                <w:ilvl w:val="0"/>
                <w:numId w:val="2"/>
              </w:numPr>
              <w:shd w:val="clear" w:color="auto" w:fill="auto"/>
              <w:tabs>
                <w:tab w:val="left" w:pos="363"/>
              </w:tabs>
              <w:spacing w:after="120" w:line="240" w:lineRule="auto"/>
              <w:ind w:left="360" w:hanging="36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“Tranżizzjonali” jekk l-istituzzjoni tagħżel li tiddivulga l-proporzjon ta’ ingranaġġ f’konformità mal-Artikolu 499(1), il-punt (b) tar-Regolament (UE) Nru 575/2013.</w:t>
            </w:r>
          </w:p>
        </w:tc>
      </w:tr>
      <w:tr w:rsidR="002312DE" w:rsidRPr="007717F5" w14:paraId="69E0A0E2" w14:textId="77777777" w:rsidTr="009F3999">
        <w:trPr>
          <w:trHeight w:val="1461"/>
        </w:trPr>
        <w:tc>
          <w:tcPr>
            <w:tcW w:w="1380" w:type="dxa"/>
            <w:vAlign w:val="center"/>
          </w:tcPr>
          <w:p w14:paraId="69E0A0D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28</w:t>
            </w:r>
          </w:p>
        </w:tc>
        <w:tc>
          <w:tcPr>
            <w:tcW w:w="7659" w:type="dxa"/>
            <w:vAlign w:val="center"/>
          </w:tcPr>
          <w:p w14:paraId="69E0A0E0" w14:textId="77777777" w:rsidR="00646595" w:rsidRPr="007717F5" w:rsidRDefault="00646595" w:rsidP="4A50945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Il-medja tal-valuri ta’ kuljum tal-assi gross ta’ SFTs, wara l-aġġustament għat-tranżazzjonijiet tal-kontabilità tal-bejgħ u netti tal-ammonti ta’ ammonti pagabbli fi flus u ta’ riċevibbli fi flus assoċjati</w:t>
            </w:r>
          </w:p>
          <w:p w14:paraId="69E0A0E1" w14:textId="2070195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L-Artikolu 451(3) </w:t>
            </w:r>
            <w:r>
              <w:rPr>
                <w:sz w:val="24"/>
                <w:rFonts w:ascii="Times New Roman" w:hAnsi="Times New Roman"/>
              </w:rPr>
              <w:t xml:space="preserve">tar-Regolament (UE) Nru 575/2013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;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TeksttreciPogrubienie"/>
                <w:b w:val="0"/>
                <w:color w:val="auto"/>
                <w:rFonts w:ascii="Times New Roman" w:hAnsi="Times New Roman"/>
              </w:rPr>
              <w:t xml:space="preserve">medja tas-somom tar-ringieli 14 u 15, ibbażata fuq is-somom ikkalkolati minn kull jum tat-trimestru ta’ divulgazzjoni</w:t>
            </w:r>
          </w:p>
        </w:tc>
      </w:tr>
      <w:tr w:rsidR="002312DE" w:rsidRPr="007717F5" w14:paraId="69E0A0E7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0E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29</w:t>
            </w:r>
          </w:p>
        </w:tc>
        <w:tc>
          <w:tcPr>
            <w:tcW w:w="7659" w:type="dxa"/>
            <w:vAlign w:val="center"/>
          </w:tcPr>
          <w:p w14:paraId="69E0A0E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Valur fit-tmiem tat-trimestru tal-assi grossi f’SFTs, wara aġġustament għal tranżazzjonijiet ta’ kontabilità tal-bejgħ u netti ta’ ammonti ta’ pagabbli fi flus u riċevibbli fi flus assoċjati</w:t>
            </w:r>
          </w:p>
          <w:p w14:paraId="69E0A0E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Jekk ir-ringieli 14 u 15 huma bbażati fuq valuri ta’ tmiem it-trimestru, dan l-ammont ikun is-somma tar-ringieli 14 u 15.</w:t>
            </w:r>
          </w:p>
          <w:p w14:paraId="69E0A0E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Jekk ir-ringieli 14 u 15 huma bbażati fuq valuri medji, dan l-ammont ikun is-somma tal-valuri ta’ tmiem it-trimestru li jikkorrispondu għall-kontenut tar-ringieli 14 u 15.</w:t>
            </w:r>
          </w:p>
        </w:tc>
      </w:tr>
      <w:tr w:rsidR="002312DE" w:rsidRPr="007717F5" w14:paraId="69E0A0EC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0E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</w:t>
            </w:r>
          </w:p>
        </w:tc>
        <w:tc>
          <w:tcPr>
            <w:tcW w:w="7659" w:type="dxa"/>
            <w:vAlign w:val="center"/>
          </w:tcPr>
          <w:p w14:paraId="69E0A0E9" w14:textId="77777777" w:rsidR="00646595" w:rsidRPr="007717F5" w:rsidRDefault="00646595" w:rsidP="4A50945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Kejl tal-iskopertura totali (inkluż l-impatt ta’ kwalunkwe eżenzjoni temporanja applikabbli ta’ riżervi tal-bank ċentrali) li jinkorpora l-valuri medji mir-ringiela 28 tal-assi grossi f’SFTs (wara aġġustament għal tranżazzjonijiet ta’ kontabilità tal-bejgħ u netti mill-ammonti ta’ pagabbli fi flus u riċevibbli fi flus assoċjati)</w:t>
            </w:r>
          </w:p>
          <w:p w14:paraId="69E0A0EA" w14:textId="0788D981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L-Artikolu 451(3) tar-Regolament (UE) Nru 575/2013</w:t>
            </w:r>
          </w:p>
          <w:p w14:paraId="69E0A0E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Il-kejl tal-iskopertura totali (inkluż l-impatt ta’ kwalunkwe eżenzjoni temporanja applikabbli ta’ riżervi tal-banek ċentrali), bl-użu tal-valuri medji kkalkolati sa kull jum tat-trimestru ta’ divulgazzjoni għall-ammonti tal-kejl tal-iskopertura assoċjata mal-assi gross ta’ SFTs (wara aġġustament għat-tranżazzjonijiet tal-kontabilità tal-bejgħ u netti mill-ammonti ta’ ammonti pagabbli fi flus u ta’ riċevibbli fi flus assoċjati).</w:t>
            </w:r>
          </w:p>
        </w:tc>
      </w:tr>
      <w:tr w:rsidR="002312DE" w:rsidRPr="007717F5" w14:paraId="69E0A0F2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0E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30a</w:t>
            </w:r>
          </w:p>
        </w:tc>
        <w:tc>
          <w:tcPr>
            <w:tcW w:w="7659" w:type="dxa"/>
            <w:vAlign w:val="center"/>
          </w:tcPr>
          <w:p w14:paraId="69E0A0EE" w14:textId="77777777" w:rsidR="00646595" w:rsidRPr="007717F5" w:rsidRDefault="00646595" w:rsidP="4A509453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Kejl tal-iskopertura totali (eskluż l-impatt ta’ kwalunkwe eżenzjoni temporanja applikabbli ta’ riżervi tal-bank ċentrali) li jinkorpora l-valuri medji mir-ringiela 28 tal-assi grossi f’SFTs (wara aġġustament għal tranżazzjonijiet ta’ kontabilità tal-bejgħ u netti mill-ammonti ta’ pagabbli fi flus u riċevibbli fi flus assoċjati)</w:t>
            </w:r>
          </w:p>
          <w:p w14:paraId="69E0A0EF" w14:textId="280CD480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L-Artikolu 451(3) tar-Regolament (UE) Nru 575/2013</w:t>
            </w:r>
          </w:p>
          <w:p w14:paraId="69E0A0F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Il-kejl tal-iskopertura totali (eskluż l-impatt ta’ kwalunkwe eżenzjoni temporanja applikabbli ta’ riżervi tal-banek ċentrali), bl-użu tal-valuri medji kkalkolati sa kull jum tat-trimestru ta’ divulgazzjoni għall-ammonti tal-kejl tal-iskopertura assoċjat mal-assi gross ta’ SFTs (wara aġġustament għat-tranżazzjonijiet tal-kontabilità tal-bejgħ u netti mill-ammonti ta’ ammonti pagabbli fi flus u ta’ riċevibbli fi flus assoċjati).</w:t>
            </w:r>
          </w:p>
          <w:p w14:paraId="69E0A0F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Jekk il-kejl tal-iskopertura totali ta’ istituzzjoni ma jkunx soġġett għal eżenzjoni temporanja tar-riżervi tal-banek ċentrali, dan il-valur ikun identiku għall-valur iddivulgat fir-ringiela 30 ta’ dan il-mudell.</w:t>
            </w:r>
          </w:p>
        </w:tc>
      </w:tr>
      <w:tr w:rsidR="002312DE" w:rsidRPr="007717F5" w14:paraId="69E0A0F6" w14:textId="77777777" w:rsidTr="009F3999">
        <w:trPr>
          <w:trHeight w:val="836"/>
        </w:trPr>
        <w:tc>
          <w:tcPr>
            <w:tcW w:w="1380" w:type="dxa"/>
            <w:vAlign w:val="center"/>
          </w:tcPr>
          <w:p w14:paraId="69E0A0F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</w:t>
            </w:r>
          </w:p>
        </w:tc>
        <w:tc>
          <w:tcPr>
            <w:tcW w:w="7659" w:type="dxa"/>
            <w:vAlign w:val="center"/>
          </w:tcPr>
          <w:p w14:paraId="69E0A0F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Proporzjon ta’ ingranaġġ (inkluż l-impatt ta’ kwalunkwe eżenzjoni temporanja applikabbli ta’ riżervi tal-bank ċentrali) li jinkorpora l-valuri medji mir-ringiela 28 tal-assi grossi f’SFTs (wara aġġustament għal tranżazzjonijiet ta’ kontabilità tal-bejgħ u netti mill-ammonti ta’ pagabbli fi flus u riċevibbli fi flus assoċjati)</w:t>
            </w:r>
          </w:p>
          <w:p w14:paraId="69E0A0F5" w14:textId="0F40F38B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L-Artikolu 451(3) tar-Regolament (UE) Nru 575/2013</w:t>
            </w:r>
          </w:p>
        </w:tc>
      </w:tr>
      <w:tr w:rsidR="002312DE" w:rsidRPr="007717F5" w14:paraId="69E0A0FA" w14:textId="77777777" w:rsidTr="009F3999">
        <w:trPr>
          <w:trHeight w:val="915"/>
        </w:trPr>
        <w:tc>
          <w:tcPr>
            <w:tcW w:w="1380" w:type="dxa"/>
            <w:vAlign w:val="center"/>
          </w:tcPr>
          <w:p w14:paraId="69E0A0F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31a</w:t>
            </w:r>
          </w:p>
        </w:tc>
        <w:tc>
          <w:tcPr>
            <w:tcW w:w="7659" w:type="dxa"/>
            <w:vAlign w:val="center"/>
          </w:tcPr>
          <w:p w14:paraId="69E0A0F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Proporzjon ta’ ingranaġġ (eskluż l-impatt ta’ kwalunkwe eżenzjoni temporanja applikabbli ta’ riżervi tal-bank ċentrali) li jinkorpora l-valuri medji mir-ringiela 28 tal-assi grossi f’SFTs (wara aġġustament għal tranżazzjonijiet ta’ kontabilità tal-bejgħ u netti mill-ammonti ta’ pagabbli fi flus u riċevibbli fi flus assoċjati)</w:t>
            </w:r>
          </w:p>
          <w:p w14:paraId="69E0A0F9" w14:textId="49CBC215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rStyle w:val="TeksttreciPogrubienie"/>
                <w:b w:val="0"/>
                <w:bCs w:val="0"/>
                <w:color w:val="auto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b w:val="0"/>
                <w:color w:val="auto"/>
                <w:sz w:val="24"/>
                <w:rFonts w:ascii="Times New Roman" w:hAnsi="Times New Roman"/>
              </w:rPr>
              <w:t xml:space="preserve">L-Artikolu 451(3) tar-Regolament (UE) Nru 575/2013</w:t>
            </w:r>
          </w:p>
        </w:tc>
      </w:tr>
    </w:tbl>
    <w:p w14:paraId="69E0A0FB" w14:textId="77777777" w:rsidR="00646595" w:rsidRPr="007717F5" w:rsidRDefault="00646595" w:rsidP="00646595">
      <w:pPr>
        <w:pStyle w:val="Teksttreci20"/>
        <w:shd w:val="clear" w:color="auto" w:fill="auto"/>
        <w:tabs>
          <w:tab w:val="left" w:pos="235"/>
        </w:tabs>
        <w:spacing w:after="120" w:line="240" w:lineRule="auto"/>
        <w:jc w:val="left"/>
        <w:rPr>
          <w:rFonts w:ascii="Times New Roman" w:eastAsiaTheme="minorHAnsi" w:hAnsi="Times New Roman" w:cs="Times New Roman"/>
          <w:b w:val="0"/>
          <w:bCs w:val="0"/>
          <w:sz w:val="24"/>
          <w:szCs w:val="24"/>
        </w:rPr>
      </w:pPr>
    </w:p>
    <w:p w14:paraId="69E0A0FC" w14:textId="77777777" w:rsidR="00646595" w:rsidRPr="007717F5" w:rsidRDefault="00646595" w:rsidP="00646595">
      <w:pPr>
        <w:pStyle w:val="Teksttreci20"/>
        <w:shd w:val="clear" w:color="auto" w:fill="auto"/>
        <w:tabs>
          <w:tab w:val="left" w:pos="235"/>
        </w:tabs>
        <w:spacing w:after="120" w:line="240" w:lineRule="auto"/>
        <w:jc w:val="left"/>
        <w:rPr>
          <w:sz w:val="24"/>
          <w:szCs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Mudell EU LR3 - LRSpl: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Tqassim tal-iskoperturi tal-karta bilanċjali (esklużi d-derivattivi, l-SFTs u l-iskoperturi eżentati).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b w:val="0"/>
          <w:rFonts w:ascii="Times New Roman" w:hAnsi="Times New Roman"/>
        </w:rPr>
        <w:t xml:space="preserve">Format fiss</w:t>
      </w:r>
    </w:p>
    <w:p w14:paraId="69E0A0FD" w14:textId="701FBE2E" w:rsidR="00646595" w:rsidRPr="007717F5" w:rsidRDefault="00646595" w:rsidP="00646595">
      <w:pPr>
        <w:pStyle w:val="ListParagraph"/>
        <w:numPr>
          <w:ilvl w:val="0"/>
          <w:numId w:val="6"/>
        </w:numPr>
        <w:spacing w:after="120"/>
        <w:ind w:left="426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L-istituzzjonijiet għandhom japplikaw l-istruzzjonijiet ipprovduti f’din it-taqsima sabiex jimlew il-mudell LRSpl b’applikazzjoni tal-Artikolu 451(1), il-punt (b) tar-Regolament (UE) Nru 575/2013.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7659"/>
      </w:tblGrid>
      <w:tr w:rsidR="002312DE" w:rsidRPr="007717F5" w14:paraId="69E0A0FF" w14:textId="77777777" w:rsidTr="009F3999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0A0FE" w14:textId="77777777" w:rsidR="00646595" w:rsidRPr="007717F5" w:rsidRDefault="00646595" w:rsidP="00E9371F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2312DE" w:rsidRPr="007717F5" w14:paraId="69E0A102" w14:textId="77777777" w:rsidTr="009F3999">
        <w:trPr>
          <w:trHeight w:val="238"/>
        </w:trPr>
        <w:tc>
          <w:tcPr>
            <w:tcW w:w="1380" w:type="dxa"/>
            <w:shd w:val="clear" w:color="auto" w:fill="D9D9D9" w:themeFill="background1" w:themeFillShade="D9"/>
          </w:tcPr>
          <w:p w14:paraId="69E0A100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9" w:type="dxa"/>
            <w:shd w:val="clear" w:color="auto" w:fill="D9D9D9" w:themeFill="background1" w:themeFillShade="D9"/>
          </w:tcPr>
          <w:p w14:paraId="69E0A101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12DE" w:rsidRPr="007717F5" w14:paraId="69E0A106" w14:textId="77777777" w:rsidTr="009F3999">
        <w:trPr>
          <w:trHeight w:val="1161"/>
        </w:trPr>
        <w:tc>
          <w:tcPr>
            <w:tcW w:w="1380" w:type="dxa"/>
            <w:vAlign w:val="center"/>
          </w:tcPr>
          <w:p w14:paraId="69E0A10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</w:t>
            </w:r>
          </w:p>
        </w:tc>
        <w:tc>
          <w:tcPr>
            <w:tcW w:w="7659" w:type="dxa"/>
          </w:tcPr>
          <w:p w14:paraId="69E0A10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totali fil-karta bilanċjali (esklużi derivattivi u SFTs, u skoperturi eżentati), li minnhom:</w:t>
            </w:r>
          </w:p>
          <w:p w14:paraId="69E0A10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tal-ammonti fir-ringieli EU-2 u EU-3 tal-Mudell EU LR3 - LRSpl.</w:t>
            </w:r>
          </w:p>
        </w:tc>
      </w:tr>
      <w:tr w:rsidR="002312DE" w:rsidRPr="007717F5" w14:paraId="69E0A10A" w14:textId="77777777" w:rsidTr="009F3999">
        <w:trPr>
          <w:trHeight w:val="1438"/>
        </w:trPr>
        <w:tc>
          <w:tcPr>
            <w:tcW w:w="1380" w:type="dxa"/>
            <w:vAlign w:val="center"/>
          </w:tcPr>
          <w:p w14:paraId="69E0A107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EU-2</w:t>
            </w:r>
          </w:p>
        </w:tc>
        <w:tc>
          <w:tcPr>
            <w:tcW w:w="7659" w:type="dxa"/>
          </w:tcPr>
          <w:p w14:paraId="69E0A10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tal-portafoll tan-negozjar</w:t>
            </w:r>
          </w:p>
          <w:p w14:paraId="69E0A10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l-iskoperturi li huma parti mill-valur tal-iskopertura totali tal-assi li jappartjenu għall-portafoll tan-negozjar esklużi d-derivattivi, l-SFTs u l-iskoperturi eżentati.</w:t>
            </w:r>
          </w:p>
        </w:tc>
      </w:tr>
      <w:tr w:rsidR="002312DE" w:rsidRPr="007717F5" w14:paraId="69E0A10E" w14:textId="77777777" w:rsidTr="009F3999">
        <w:trPr>
          <w:trHeight w:val="438"/>
        </w:trPr>
        <w:tc>
          <w:tcPr>
            <w:tcW w:w="1380" w:type="dxa"/>
            <w:vAlign w:val="center"/>
          </w:tcPr>
          <w:p w14:paraId="69E0A10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EU-3</w:t>
            </w:r>
          </w:p>
        </w:tc>
        <w:tc>
          <w:tcPr>
            <w:tcW w:w="7659" w:type="dxa"/>
          </w:tcPr>
          <w:p w14:paraId="69E0A10C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tal-portafoll bankarju, li minnhom:</w:t>
            </w:r>
          </w:p>
          <w:p w14:paraId="69E0A10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tal-valuri fir-ringieli minn EU-4 sa EU-12 tal-Mudell EU LR3-LRSpl.</w:t>
            </w:r>
          </w:p>
        </w:tc>
      </w:tr>
      <w:tr w:rsidR="002312DE" w:rsidRPr="007717F5" w14:paraId="69E0A113" w14:textId="77777777" w:rsidTr="009F3999">
        <w:trPr>
          <w:trHeight w:val="1956"/>
        </w:trPr>
        <w:tc>
          <w:tcPr>
            <w:tcW w:w="1380" w:type="dxa"/>
            <w:vAlign w:val="center"/>
          </w:tcPr>
          <w:p w14:paraId="69E0A10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EU-4</w:t>
            </w:r>
          </w:p>
        </w:tc>
        <w:tc>
          <w:tcPr>
            <w:tcW w:w="7659" w:type="dxa"/>
          </w:tcPr>
          <w:p w14:paraId="69E0A110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Bonds Koperti</w:t>
            </w:r>
          </w:p>
          <w:p w14:paraId="69E0A111" w14:textId="1F8DC385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totali tal-assi li jkunu fil-forma ta’ bonds koperti kif iddefiniti fl-Artikolu 129 u fl-Artikolu 161(1), il-punt (d) tar-Regolament (UE) Nru 575/2013.</w:t>
            </w:r>
          </w:p>
          <w:p w14:paraId="69E0A112" w14:textId="77777777" w:rsidR="00646595" w:rsidRPr="007717F5" w:rsidRDefault="00646595" w:rsidP="00E9371F">
            <w:pPr>
              <w:pStyle w:val="BodyText1"/>
              <w:spacing w:after="120" w:line="240" w:lineRule="auto"/>
              <w:rPr>
                <w:bCs/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l-iskopertura totali tal-bonds koperti netta mill-iskoperturi inadempjenti.</w:t>
            </w:r>
          </w:p>
        </w:tc>
      </w:tr>
      <w:tr w:rsidR="002312DE" w:rsidRPr="007717F5" w14:paraId="69E0A118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11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EU-5</w:t>
            </w:r>
          </w:p>
        </w:tc>
        <w:tc>
          <w:tcPr>
            <w:tcW w:w="7659" w:type="dxa"/>
          </w:tcPr>
          <w:p w14:paraId="69E0A11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trattati bħala sovrani</w:t>
            </w:r>
          </w:p>
          <w:p w14:paraId="69E0A116" w14:textId="1BA4E3DF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totali lejn entitajiet li huma ttrattati bħala sovrani skont ir-Regolament (UE) Nru 575/2013. (Gvernijiet ċentrali u banek ċentrali (l-Artikolu 114, u l-Artikolu 147(2), il-punt (a) tar-Regolament (UE) Nru 575/2013);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il-gvernijiet reġjonali u l-awtoritajiet lokali ttrattati bħala sovrani (l-Artikolu 115(2) u (4), u l-Artikolu 147(3), il-punt (a) tar-Regolament (UE) Nru 575/2013), il-banek multilaterali tal-iżvilupp u l-organizzazzjonijiet internazzjonali ttrattati bħala sovrani (l-Artikoli 117(2) u 118, u l-Artikolu 147(3), il-punti (b) u (c) tar-Regolament (UE) Nru 575/2013), l-entitajiet tas-settur pubbliku (l-Artikolu 116(4) u l-Artikolu 147(3), il-punt (a) tar-Regolament (UE) Nru 575/2013)</w:t>
            </w:r>
          </w:p>
          <w:p w14:paraId="69E0A117" w14:textId="77777777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l-iskopertura totali tas-sovrani netta mill-iskoperturi inadempjenti.</w:t>
            </w:r>
          </w:p>
        </w:tc>
      </w:tr>
      <w:tr w:rsidR="002312DE" w:rsidRPr="007717F5" w14:paraId="69E0A11D" w14:textId="77777777" w:rsidTr="009F3999">
        <w:trPr>
          <w:trHeight w:val="1121"/>
        </w:trPr>
        <w:tc>
          <w:tcPr>
            <w:tcW w:w="1380" w:type="dxa"/>
            <w:vAlign w:val="center"/>
          </w:tcPr>
          <w:p w14:paraId="69E0A11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EU-6</w:t>
            </w:r>
          </w:p>
        </w:tc>
        <w:tc>
          <w:tcPr>
            <w:tcW w:w="7659" w:type="dxa"/>
          </w:tcPr>
          <w:p w14:paraId="69E0A11A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għal gvernijiet reġjonali, għal MDB, għal Organizzazzjonijiet internazzjonali u għal PSE, mhux ittrattati bħala sovrani</w:t>
            </w:r>
          </w:p>
          <w:p w14:paraId="69E0A11B" w14:textId="0C354BAB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eastAsia="Book Antiqua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totali lejn il-gvernijiet reġjonali u l-awtoritajiet lokali kif iddefinit fl-Artikolu 115(1), (3) u (5) tar-Regolament (UE) Nru 575/2013 għall-iskoperturi SA u fl-Artikolu 147(4), il-punt (a) tar-Regolament (UE) Nru 575/2013 għall-iskoperturi IRB;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banek multilaterali tal-iżvilupp kif iddefiniti fl-Artikolu 117(1) u (3) tar-Regolament (UE) Nru 575/2013 għal skoperturi SA u fl-Artikolu 147(4), il-punt (c) tar-Regolament (UE) Nru 575/2013 għall-iskoperturi IRB;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organizzazzjonijiet internazzjonali u entitajiet tas-settur pubbliku kif iddefiniti fl-Artikolu 116(1), (2), (3) u (5) tar-Regolament (UE) Nru 575/2013 għal skoperturi SA u fl-Artikolu 147(4), il-punt (b) tar-Regolament (UE) Nru 575/2013 għal skoperturi IRB li mhumiex ittrattati bħala sovrani skont ir-Regolament (UE) Nru 575/2013.</w:t>
            </w:r>
          </w:p>
          <w:p w14:paraId="69E0A11C" w14:textId="77777777" w:rsidR="00646595" w:rsidRPr="007717F5" w:rsidRDefault="00646595" w:rsidP="00E9371F">
            <w:pPr>
              <w:pStyle w:val="BodyText1"/>
              <w:spacing w:after="120" w:line="240" w:lineRule="auto"/>
              <w:rPr>
                <w:bCs/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l-iskopertura totali msemmija hawn fuq netta mill-iskoperturi inadempjenti.</w:t>
            </w:r>
          </w:p>
        </w:tc>
      </w:tr>
      <w:tr w:rsidR="002312DE" w:rsidRPr="007717F5" w14:paraId="69E0A122" w14:textId="77777777" w:rsidTr="009F3999">
        <w:trPr>
          <w:trHeight w:val="416"/>
        </w:trPr>
        <w:tc>
          <w:tcPr>
            <w:tcW w:w="1380" w:type="dxa"/>
            <w:vAlign w:val="center"/>
          </w:tcPr>
          <w:p w14:paraId="69E0A11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EU-7</w:t>
            </w:r>
          </w:p>
        </w:tc>
        <w:tc>
          <w:tcPr>
            <w:tcW w:w="7659" w:type="dxa"/>
          </w:tcPr>
          <w:p w14:paraId="69E0A11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Istituzzjonijiet</w:t>
            </w:r>
          </w:p>
          <w:p w14:paraId="69E0A120" w14:textId="1CE54689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tal-iskoperturi lejn l-istituzzjonijiet li jaqgħu taħt l-Artikoli 119 sa 121 tar-Regolament (UE) Nru 575/2013 għall-iskoperturi SA u għall-iskoperturi IRB - li jaqgħu taħt l-Artikolu 147(2), il-punt (b) tar-Regolament (UE) Nru 575/2013 u li ma humiex skoperturi fil-forma ta’ bonds koperti taħt l-Artikolu 161(1), il-punt (d) tar-Regolament (UE) Nru 575/2013 u li ma jaqgħux taħt l-Artikolu 147(4), il-punti (a) sa (c) tar-Regolament (UE) Nru 575/2013.</w:t>
            </w:r>
          </w:p>
          <w:p w14:paraId="69E0A121" w14:textId="77777777" w:rsidR="00646595" w:rsidRPr="007717F5" w:rsidRDefault="00646595" w:rsidP="00E9371F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l-iskopertura totali netta mill-iskoperturi inadempjenti.</w:t>
            </w:r>
          </w:p>
        </w:tc>
      </w:tr>
      <w:tr w:rsidR="002312DE" w:rsidRPr="007717F5" w14:paraId="69E0A127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123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UE EU-8</w:t>
            </w:r>
          </w:p>
        </w:tc>
        <w:tc>
          <w:tcPr>
            <w:tcW w:w="7659" w:type="dxa"/>
          </w:tcPr>
          <w:p w14:paraId="69E0A12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Iggarantiti b’ipoteki fuq proprjetà immobbli</w:t>
            </w:r>
          </w:p>
          <w:p w14:paraId="69E0A125" w14:textId="1DF4863A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tal-assi li huma skoperturi ggarantiti b’ipoteki fuq proprjetajiet immobbli li jaqgħu taħt l-Artikolu 124 tar-Regolament (UE) Nru 575/2013 fil-każ ta’ skoperturi tal-SA u li huma skoperturi għal korporattivi skont l-Artikolu 147(2), il-punt (c) tar-Regolament (UE) Nru 575/2013 jew skoperturi fil-livell tal-konsumatur skont l-Artikolu 147(2), il-punt (d) tar-Regolament (UE) Nru 575/2013 jekk dawn l-iskoperturi jkunu ggarantiti b’ipoteki fuq proprjetà immobbli f’konformità mal-Artikolu 199(1), il-punt (a) tar-Regolament (UE) Nru 575/2013 għall-iskoperturi IRB.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A126" w14:textId="77777777" w:rsidR="00646595" w:rsidRPr="007717F5" w:rsidRDefault="00646595" w:rsidP="00E9371F">
            <w:pPr>
              <w:pStyle w:val="BodyText1"/>
              <w:spacing w:after="120" w:line="240" w:lineRule="auto"/>
              <w:rPr>
                <w:bCs/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l-iskopertura totali netta mill-iskoperturi inadempjenti.</w:t>
            </w:r>
          </w:p>
        </w:tc>
      </w:tr>
      <w:tr w:rsidR="002312DE" w:rsidRPr="007717F5" w14:paraId="69E0A12C" w14:textId="77777777" w:rsidTr="009F3999">
        <w:trPr>
          <w:trHeight w:val="2265"/>
        </w:trPr>
        <w:tc>
          <w:tcPr>
            <w:tcW w:w="1380" w:type="dxa"/>
            <w:vAlign w:val="center"/>
          </w:tcPr>
          <w:p w14:paraId="69E0A12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EU-9</w:t>
            </w:r>
          </w:p>
        </w:tc>
        <w:tc>
          <w:tcPr>
            <w:tcW w:w="7659" w:type="dxa"/>
          </w:tcPr>
          <w:p w14:paraId="69E0A12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fil-livell ta’ konsumatur</w:t>
            </w:r>
          </w:p>
          <w:p w14:paraId="69E0A12A" w14:textId="2B0AE4A6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totali tal-assi li huma skoperturi fil-livell tal-konsumatur skont l-Artikolu 123 tar-Regolament (UE) Nru 575/2013 fil-każ ta’ skoperturi SA u li huma skoperturi skont l-Artikolu 147(2), il-punt (d) tar-Regolament (UE) Nru 575/2013, jekk dawn l-iskoperturi </w:t>
            </w:r>
            <w:r>
              <w:rPr>
                <w:color w:val="auto"/>
                <w:sz w:val="24"/>
                <w:b/>
                <w:u w:val="single"/>
                <w:rFonts w:ascii="Times New Roman" w:hAnsi="Times New Roman"/>
              </w:rPr>
              <w:t xml:space="preserve">ma jkunux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iggarantiti b’ipoteki fuq proprjetà immobbli f’konformità mal-Artikolu 199(1), il-punt (a) tar-Regolament (UE) Nru 575/2013 – għall-iskoperturi IRB.</w:t>
            </w:r>
            <w:r>
              <w:rPr>
                <w:color w:val="auto"/>
                <w:sz w:val="24"/>
                <w:rFonts w:ascii="Times New Roman" w:hAnsi="Times New Roman"/>
              </w:rPr>
              <w:t xml:space="preserve"> </w:t>
            </w:r>
          </w:p>
          <w:p w14:paraId="69E0A12B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l-iskopertura totali netta mill-iskoperturi inadempjenti.</w:t>
            </w:r>
          </w:p>
        </w:tc>
      </w:tr>
      <w:tr w:rsidR="002312DE" w:rsidRPr="007717F5" w14:paraId="69E0A133" w14:textId="77777777" w:rsidTr="009F3999">
        <w:trPr>
          <w:trHeight w:val="625"/>
        </w:trPr>
        <w:tc>
          <w:tcPr>
            <w:tcW w:w="1380" w:type="dxa"/>
            <w:vAlign w:val="center"/>
          </w:tcPr>
          <w:p w14:paraId="69E0A12D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EU-10</w:t>
            </w:r>
          </w:p>
        </w:tc>
        <w:tc>
          <w:tcPr>
            <w:tcW w:w="7659" w:type="dxa"/>
          </w:tcPr>
          <w:p w14:paraId="69E0A12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Korporattivi</w:t>
            </w:r>
          </w:p>
          <w:p w14:paraId="69E0A12F" w14:textId="1B36858A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totali tal-assi li huma skopertura korporattiva (jiġifieri finanzjarja u mhux finanzjarja).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tal-SA, dawn huma skoperturi għal korporattivi li jaqgħu taħt l-Artikolu 122 tar-Regolament (UE) Nru 575/2013 u għal skoperturi IRB - li huma skoperturi għal korporattivi skont l-Artikolu 147(2), il-punt (c) tar-Regolament (UE) Nru 575/2013 jekk dawn l-iskoperturi 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ma jkunux</w:t>
            </w:r>
            <w:r>
              <w:rPr>
                <w:sz w:val="24"/>
                <w:rFonts w:ascii="Times New Roman" w:hAnsi="Times New Roman"/>
              </w:rPr>
              <w:t xml:space="preserve"> iggarantiti b’ipoteki fuq proprjetà immobbli f’konformità mal-Artikolu 199(1), il-punt (a) tar-Regolament (UE) Nru 575/2013.</w:t>
            </w:r>
          </w:p>
          <w:p w14:paraId="69E0A130" w14:textId="45AC6532" w:rsidR="00646595" w:rsidRPr="007717F5" w:rsidRDefault="00646595" w:rsidP="17C07D06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Korporattivi finanzjarji għandhom ifissru impriżi rregolati u mhux irregolati minbarra l-istituzzjonijiet imsemmija fl-EU-7 ta’ dan il-mudell, li l-attività prinċipali tagħhom hija li jakkwistaw parteċipazzjonijiet jew li jwettqu waħda jew aktar mill-attivitajiet elenkati fl-Anness I CRD, kif ukoll impriżi kif iddefiniti fl-Artikolu 4(1) il-punt (27) tar-Regolament (UE) Nru 575/2013, minbarra l-istituzzjonijiet imsemmija fl-EU-7 ta’ dan il-mudell.</w:t>
            </w:r>
          </w:p>
          <w:p w14:paraId="69E0A131" w14:textId="4B0BACF1" w:rsidR="00646595" w:rsidRPr="007717F5" w:rsidRDefault="00646595" w:rsidP="17C07D06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Għall-fini ta’ din iċ-ċellola, it-terminu “intrapriża żgħira u medja” huwa ddefinit f’konformità mal-Artikolu 501(2), il-punt (b) tar-Regolament (UE) Nru 575/2013.</w:t>
            </w:r>
          </w:p>
          <w:p w14:paraId="69E0A132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l-iskopertura totali netta mill-iskoperturi inadempjenti.</w:t>
            </w:r>
          </w:p>
        </w:tc>
      </w:tr>
      <w:tr w:rsidR="002312DE" w:rsidRPr="007717F5" w14:paraId="69E0A137" w14:textId="77777777" w:rsidTr="009F3999">
        <w:trPr>
          <w:trHeight w:val="1729"/>
        </w:trPr>
        <w:tc>
          <w:tcPr>
            <w:tcW w:w="1380" w:type="dxa"/>
            <w:vAlign w:val="center"/>
          </w:tcPr>
          <w:p w14:paraId="69E0A134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EU-11</w:t>
            </w:r>
          </w:p>
        </w:tc>
        <w:tc>
          <w:tcPr>
            <w:tcW w:w="7659" w:type="dxa"/>
          </w:tcPr>
          <w:p w14:paraId="69E0A13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f’inadempjenza</w:t>
            </w:r>
          </w:p>
          <w:p w14:paraId="69E0A136" w14:textId="18E90D6D" w:rsidR="00646595" w:rsidRPr="007717F5" w:rsidRDefault="00646595">
            <w:pPr>
              <w:pStyle w:val="BodyText1"/>
              <w:spacing w:after="120" w:line="240" w:lineRule="auto"/>
              <w:rPr>
                <w:color w:val="auto"/>
                <w:sz w:val="24"/>
                <w:szCs w:val="24"/>
                <w:rFonts w:ascii="Times New Roman" w:hAnsi="Times New Roman"/>
              </w:rPr>
            </w:pPr>
            <w:r>
              <w:rPr>
                <w:color w:val="auto"/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totali tal-assi li huma inadempjenti u – għall-iskoperturi SA – jaqgħu taħt l-Artikolu 127 tar-Regolament (UE) Nru 575/2013 jew, fil-każ ta’ skoperturi IRB, huma kkategorizzati fil-klassijiet tal-iskoperturi elenkati fl-Artikolu 147(2) tar-Regolament (UE) Nru 575/2013 jekk tkun seħħet inadempjenza f’konformità mal-Artikolu 178 tar-Regolament (UE) Nru 575/2013.</w:t>
            </w:r>
          </w:p>
        </w:tc>
      </w:tr>
      <w:tr w:rsidR="002312DE" w:rsidRPr="007717F5" w14:paraId="69E0A13B" w14:textId="77777777" w:rsidTr="009F3999">
        <w:trPr>
          <w:trHeight w:val="992"/>
        </w:trPr>
        <w:tc>
          <w:tcPr>
            <w:tcW w:w="1380" w:type="dxa"/>
            <w:vAlign w:val="center"/>
          </w:tcPr>
          <w:p w14:paraId="69E0A13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EU-12</w:t>
            </w:r>
          </w:p>
        </w:tc>
        <w:tc>
          <w:tcPr>
            <w:tcW w:w="7659" w:type="dxa"/>
          </w:tcPr>
          <w:p w14:paraId="69E0A139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Skoperturi oħrajn (eż. ekwità, titolizzazzjonijiet, u assi oħrajn b’obbligi mhux ta’ kreditu)</w:t>
            </w:r>
          </w:p>
          <w:p w14:paraId="69E0A13A" w14:textId="0BF4831C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tal-iskoperturi, li hija l-valur tal-iskopertura totali ta’ skoperturi oħrajn tal-portafoll mhux tan-negozjar skont ir-Regolament (UE) Nru 575/2013 (eż. ekwità, titolizzazzjonijiet u assi b’obbligu mhux ta’ kreditu;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fil-każ ta’ skoperturi SA, dawn huma assi kkategorizzati fil-klassijiet tal-iskoperturi elenkati fl-Artikolu 112, il-punti (k), (m), (n), (o), (p) u (q) tar-Regolament (UE) Nru 575/2013, u fil-każ ta’ skoperturi IRB – fl-Artikolu 147(2), il-punti (e), (f) u (g) tar-Regolament (UE) Nru 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jinkludu assi li jitnaqqsu fid-determinazzjoni tal-kapital tal-Grad 1 u, għalhekk, jiġu ddikjarati fir-ringiela 2 tal-Mudell EU LR2-LRCom, sakemm dawn l-assi ma jkunux inklużi fir-ringiela EU-2, minn EU-4 sa EU-11 tal-Mudell EU LR3- LRSpl.</w:t>
            </w:r>
          </w:p>
        </w:tc>
      </w:tr>
    </w:tbl>
    <w:p w14:paraId="69E0A13C" w14:textId="77777777" w:rsidR="00646595" w:rsidRPr="007717F5" w:rsidRDefault="00646595" w:rsidP="00646595">
      <w:pPr>
        <w:spacing w:after="120"/>
        <w:rPr>
          <w:rFonts w:ascii="Times New Roman" w:hAnsi="Times New Roman" w:cs="Times New Roman"/>
          <w:sz w:val="24"/>
        </w:rPr>
      </w:pPr>
    </w:p>
    <w:p w14:paraId="69E0A13D" w14:textId="77777777" w:rsidR="00646595" w:rsidRPr="007717F5" w:rsidRDefault="00646595" w:rsidP="00646595">
      <w:pPr>
        <w:pStyle w:val="Teksttreci20"/>
        <w:shd w:val="clear" w:color="auto" w:fill="auto"/>
        <w:tabs>
          <w:tab w:val="left" w:pos="221"/>
        </w:tabs>
        <w:spacing w:after="120" w:line="240" w:lineRule="auto"/>
        <w:jc w:val="left"/>
        <w:rPr>
          <w:sz w:val="24"/>
          <w:szCs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Tabella EU LRA - Divulgazzjoni ta’ informazzjoni kwalitattiva tal-LR.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b w:val="0"/>
          <w:rFonts w:ascii="Times New Roman" w:hAnsi="Times New Roman"/>
        </w:rPr>
        <w:t xml:space="preserve">Kaxxi tat-test b’format liberu għad-divulgazzjoni ta’ informazzjoni kwalitattiva</w:t>
      </w:r>
    </w:p>
    <w:p w14:paraId="69E0A13E" w14:textId="1920A526" w:rsidR="00646595" w:rsidRPr="007717F5" w:rsidRDefault="00646595" w:rsidP="17C07D06">
      <w:pPr>
        <w:pStyle w:val="ListParagraph"/>
        <w:numPr>
          <w:ilvl w:val="0"/>
          <w:numId w:val="6"/>
        </w:numPr>
        <w:spacing w:after="120"/>
        <w:ind w:left="426"/>
        <w:rPr>
          <w:rStyle w:val="TeksttreciPogrubienie"/>
          <w:b w:val="0"/>
          <w:bCs w:val="0"/>
          <w:color w:val="auto"/>
          <w:sz w:val="24"/>
          <w:szCs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L-istituzzjonijiet għandhom jimlew it-Tabella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L-awtoritajiet lokali u reġjonali tal-UE billi japplikaw l-istruzzjonijiet li ġejjin, b’applikazzjoni tal-Artikolu 451(1), il-punti (d) u (e) tar-Regolament (UE) Nru 575/2013</w:t>
      </w:r>
    </w:p>
    <w:p w14:paraId="69E0A13F" w14:textId="77777777" w:rsidR="00646595" w:rsidRPr="007717F5" w:rsidRDefault="00646595" w:rsidP="0064659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12DE" w:rsidRPr="007717F5" w14:paraId="69E0A141" w14:textId="77777777" w:rsidTr="17C07D0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0A140" w14:textId="77777777" w:rsidR="00646595" w:rsidRPr="007717F5" w:rsidRDefault="00646595" w:rsidP="00E9371F">
            <w:pPr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2312DE" w:rsidRPr="007717F5" w14:paraId="69E0A144" w14:textId="77777777" w:rsidTr="17C07D0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69E0A142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9E0A143" w14:textId="77777777" w:rsidR="00646595" w:rsidRPr="007717F5" w:rsidRDefault="00646595" w:rsidP="00E9371F">
            <w:pPr>
              <w:autoSpaceDE w:val="0"/>
              <w:autoSpaceDN w:val="0"/>
              <w:adjustRightInd w:val="0"/>
              <w:spacing w:after="12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12DE" w:rsidRPr="007717F5" w14:paraId="69E0A14D" w14:textId="77777777" w:rsidTr="17C07D06">
        <w:trPr>
          <w:trHeight w:val="805"/>
        </w:trPr>
        <w:tc>
          <w:tcPr>
            <w:tcW w:w="1384" w:type="dxa"/>
          </w:tcPr>
          <w:p w14:paraId="69E0A145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</w:t>
            </w:r>
          </w:p>
        </w:tc>
        <w:tc>
          <w:tcPr>
            <w:tcW w:w="7655" w:type="dxa"/>
          </w:tcPr>
          <w:p w14:paraId="69E0A146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Deskrizzjoni tal-proċessi użati għall-ġestjoni tar-riskju ta’ ingranaġġ eċċessiv</w:t>
            </w:r>
          </w:p>
          <w:p w14:paraId="69E0A147" w14:textId="1D4D81C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451(1), il-punt (d) tar-Regolament (UE) Nru 575/2013.</w:t>
            </w:r>
          </w:p>
          <w:p w14:paraId="69E0A148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“Deskrizzjoni tal-proċessi użati għall-ġestjoni tar-riskju ta’ ingranaġġ eċċessiv” għandha tinkludi kwalunkwe informazzjoni rilevanti dwar:</w:t>
            </w:r>
          </w:p>
          <w:p w14:paraId="69E0A149" w14:textId="77777777" w:rsidR="00646595" w:rsidRPr="007717F5" w:rsidRDefault="00646595" w:rsidP="00646595">
            <w:pPr>
              <w:pStyle w:val="Teksttreci0"/>
              <w:numPr>
                <w:ilvl w:val="0"/>
                <w:numId w:val="3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il-proċeduri u r-riżorsi użati għall-valutazzjoni tar-riskju ta’ ingranaġġ eċċessiv;</w:t>
            </w:r>
          </w:p>
          <w:p w14:paraId="69E0A14A" w14:textId="41786312" w:rsidR="00646595" w:rsidRPr="007717F5" w:rsidRDefault="00646595" w:rsidP="00646595">
            <w:pPr>
              <w:pStyle w:val="Teksttreci0"/>
              <w:numPr>
                <w:ilvl w:val="0"/>
                <w:numId w:val="3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għodod kwantitattivi, jekk ikun hemm, użati sabiex jiġi vvalutat ir-riskju ta’ ingranaġġ eċċessiv inklużi dettalji dwar miri interni potenzjali, u jekk humiex qed jintużaw indikaturi oħra minbarra l-proporzjon ta’ ingranaġġ;</w:t>
            </w:r>
          </w:p>
          <w:p w14:paraId="69E0A14B" w14:textId="77777777" w:rsidR="00646595" w:rsidRPr="007717F5" w:rsidRDefault="00646595" w:rsidP="00646595">
            <w:pPr>
              <w:pStyle w:val="Teksttreci0"/>
              <w:numPr>
                <w:ilvl w:val="0"/>
                <w:numId w:val="3"/>
              </w:numPr>
              <w:shd w:val="clear" w:color="auto" w:fill="auto"/>
              <w:tabs>
                <w:tab w:val="left" w:pos="-17"/>
              </w:tabs>
              <w:spacing w:after="120" w:line="240" w:lineRule="auto"/>
              <w:ind w:hanging="36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(c) modi ta’ kif jiġu kkunsidrati d-diskrepanzi fil-maturità u l-aggravar ta’ assi fil-ġestjoni tar-riskju ta’ ingranaġġ eċċessiv;</w:t>
            </w:r>
          </w:p>
          <w:p w14:paraId="69E0A14C" w14:textId="77777777" w:rsidR="00646595" w:rsidRPr="007717F5" w:rsidRDefault="00646595" w:rsidP="00E9371F">
            <w:pPr>
              <w:pStyle w:val="Teksttreci0"/>
              <w:shd w:val="clear" w:color="auto" w:fill="auto"/>
              <w:tabs>
                <w:tab w:val="left" w:pos="-17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(d)</w:t>
            </w:r>
            <w:r>
              <w:rPr>
                <w:sz w:val="24"/>
                <w:rFonts w:ascii="Times New Roman" w:hAnsi="Times New Roman"/>
              </w:rPr>
              <w:tab/>
            </w:r>
            <w:r>
              <w:rPr>
                <w:sz w:val="24"/>
                <w:rFonts w:ascii="Times New Roman" w:hAnsi="Times New Roman"/>
              </w:rPr>
              <w:t xml:space="preserve">proċessi għar-reazzjoni għal tibdiliet fil-proporzjon ta’ ingranaġġ, inklużi proċessi u skedi ta’ żmien għal żieda potenzjali fil-kapital tal-Grad 1 għall-ġestjoni tar-riskju ta’ ingranaġġ eċċessiv;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jew proċessi u skedi ta’ żmien għall-aġġustament tad-denominatur tal-proporzjon ta’ ingranaġġ (il-kejl tal-iskopertura totali) sabiex ir-riskju ta’ ingranaġġ eċċessiv ikun ġestit.</w:t>
            </w:r>
          </w:p>
        </w:tc>
      </w:tr>
      <w:tr w:rsidR="00646595" w:rsidRPr="002312DE" w14:paraId="69E0A157" w14:textId="77777777" w:rsidTr="17C07D06">
        <w:trPr>
          <w:trHeight w:val="2265"/>
        </w:trPr>
        <w:tc>
          <w:tcPr>
            <w:tcW w:w="1384" w:type="dxa"/>
          </w:tcPr>
          <w:p w14:paraId="69E0A14E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jc w:val="center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</w:t>
            </w:r>
          </w:p>
        </w:tc>
        <w:tc>
          <w:tcPr>
            <w:tcW w:w="7655" w:type="dxa"/>
          </w:tcPr>
          <w:p w14:paraId="69E0A14F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TeksttreciPogrubienie"/>
                <w:color w:val="auto"/>
                <w:sz w:val="24"/>
                <w:rFonts w:ascii="Times New Roman" w:hAnsi="Times New Roman"/>
              </w:rPr>
              <w:t xml:space="preserve">Deskrizzjoni tal-fatturi li kellhom impatt fuq il-proporzjon ta’ ingranaġġ matul il-perjodu li għalih jirreferi l-proporzjon ta’ ingranaġġ divulgat</w:t>
            </w:r>
          </w:p>
          <w:p w14:paraId="69E0A150" w14:textId="427D70B9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Il-Punt (e) tal-Artikolu 451(1) tar-Regolament (UE) Nru 575/2013.</w:t>
            </w:r>
          </w:p>
          <w:p w14:paraId="69E0A151" w14:textId="77777777" w:rsidR="00646595" w:rsidRPr="007717F5" w:rsidRDefault="00646595" w:rsidP="00E9371F">
            <w:pPr>
              <w:pStyle w:val="Teksttreci0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“Deskrizzjoni tal-fatturi li kellhom impatt fuq il-proporzjon ta’ ingranaġġ matul il-perjodu li għalih jirreferi l-proporzjon ta’ ingranaġġ iddivulgat” għandha tinkludi kwalunkwe informazzjoni materjali dwar:</w:t>
            </w:r>
          </w:p>
          <w:p w14:paraId="69E0A152" w14:textId="77777777" w:rsidR="00646595" w:rsidRPr="007717F5" w:rsidRDefault="00646595" w:rsidP="00646595">
            <w:pPr>
              <w:pStyle w:val="Teksttreci0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il-kwantifikazzjoni tat-tibdil fil-proporzjon ta’ ingranaġġ mid-data ta’ referenza tad-divulgazzjoni preċedenti;</w:t>
            </w:r>
          </w:p>
          <w:p w14:paraId="69E0A153" w14:textId="77777777" w:rsidR="00646595" w:rsidRPr="007717F5" w:rsidRDefault="00646595" w:rsidP="00646595">
            <w:pPr>
              <w:pStyle w:val="Teksttreci0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after="120" w:line="240" w:lineRule="auto"/>
              <w:ind w:firstLine="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il-fatturi ewlenin tal-proporzjon ta’ ingranaġġ mid-data ta’ referenza tad-divulgazzjoni preċedenti b’kummenti ta’ spjegazzjoni dwar:</w:t>
            </w:r>
          </w:p>
          <w:p w14:paraId="69E0A154" w14:textId="77777777" w:rsidR="00646595" w:rsidRPr="007717F5" w:rsidRDefault="00646595" w:rsidP="00646595">
            <w:pPr>
              <w:pStyle w:val="Teksttreci0"/>
              <w:numPr>
                <w:ilvl w:val="0"/>
                <w:numId w:val="5"/>
              </w:numPr>
              <w:shd w:val="clear" w:color="auto" w:fill="auto"/>
              <w:tabs>
                <w:tab w:val="left" w:pos="-12"/>
              </w:tabs>
              <w:spacing w:after="120" w:line="240" w:lineRule="auto"/>
              <w:ind w:hanging="36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(1) in-natura tat-tibdil u jekk kienx tibdil fin-numeratur tal-proporzjon, fid-denominatur tal-proporzjon, jew fit-tnejn li huma;</w:t>
            </w:r>
          </w:p>
          <w:p w14:paraId="69E0A155" w14:textId="77777777" w:rsidR="00646595" w:rsidRPr="007717F5" w:rsidRDefault="00646595" w:rsidP="00646595">
            <w:pPr>
              <w:pStyle w:val="Teksttreci0"/>
              <w:numPr>
                <w:ilvl w:val="0"/>
                <w:numId w:val="5"/>
              </w:numPr>
              <w:shd w:val="clear" w:color="auto" w:fill="auto"/>
              <w:tabs>
                <w:tab w:val="left" w:pos="-17"/>
              </w:tabs>
              <w:spacing w:after="120" w:line="240" w:lineRule="auto"/>
              <w:ind w:hanging="36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(2) jekk dan irriżultax minn deċiżjoni strateġika interna u, jekk iva, jekk dik id-deċiżjoni strateġika kinitx immirata direttament lejn il-proporzjon ta’ ingranaġġ jew jekk kinitx taffettwa l-proporzjon ta’ ingranaġġ b’mod indirett biss;</w:t>
            </w:r>
          </w:p>
          <w:p w14:paraId="69E0A156" w14:textId="77777777" w:rsidR="00646595" w:rsidRPr="007717F5" w:rsidRDefault="00646595" w:rsidP="00646595">
            <w:pPr>
              <w:pStyle w:val="Teksttreci0"/>
              <w:numPr>
                <w:ilvl w:val="0"/>
                <w:numId w:val="5"/>
              </w:numPr>
              <w:shd w:val="clear" w:color="auto" w:fill="auto"/>
              <w:tabs>
                <w:tab w:val="left" w:pos="-12"/>
              </w:tabs>
              <w:spacing w:after="120" w:line="240" w:lineRule="auto"/>
              <w:ind w:hanging="360"/>
              <w:rPr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(3) l-aktar fatturi esterni sinifikanti relatati mal-ambjenti ekonomiċi u finanzjarji li kellhom impatt fuq il-proporzjon ta’ ingranaġġ.</w:t>
            </w:r>
          </w:p>
        </w:tc>
      </w:tr>
    </w:tbl>
    <w:p w14:paraId="69E0A158" w14:textId="77777777" w:rsidR="004E3F4D" w:rsidRPr="002312DE" w:rsidRDefault="004E3F4D">
      <w:pPr>
        <w:rPr>
          <w:rFonts w:ascii="Times New Roman" w:hAnsi="Times New Roman" w:cs="Times New Roman"/>
        </w:rPr>
      </w:pPr>
    </w:p>
    <w:sectPr w:rsidR="004E3F4D" w:rsidRPr="002312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8879" w14:textId="77777777" w:rsidR="008663EF" w:rsidRDefault="008663EF" w:rsidP="00646595">
      <w:r>
        <w:separator/>
      </w:r>
    </w:p>
  </w:endnote>
  <w:endnote w:type="continuationSeparator" w:id="0">
    <w:p w14:paraId="1A6200A9" w14:textId="77777777" w:rsidR="008663EF" w:rsidRDefault="008663EF" w:rsidP="00646595">
      <w:r>
        <w:continuationSeparator/>
      </w:r>
    </w:p>
  </w:endnote>
  <w:endnote w:type="continuationNotice" w:id="1">
    <w:p w14:paraId="2F7DD78B" w14:textId="77777777" w:rsidR="008663EF" w:rsidRDefault="00866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249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E0A160" w14:textId="77777777" w:rsidR="00646595" w:rsidRDefault="006465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9E0A161" w14:textId="77777777" w:rsidR="00646595" w:rsidRDefault="006465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A5E06" w14:textId="77777777" w:rsidR="008663EF" w:rsidRDefault="008663EF" w:rsidP="00646595">
      <w:r>
        <w:separator/>
      </w:r>
    </w:p>
  </w:footnote>
  <w:footnote w:type="continuationSeparator" w:id="0">
    <w:p w14:paraId="3CD0B6C4" w14:textId="77777777" w:rsidR="008663EF" w:rsidRDefault="008663EF" w:rsidP="00646595">
      <w:r>
        <w:continuationSeparator/>
      </w:r>
    </w:p>
  </w:footnote>
  <w:footnote w:type="continuationNotice" w:id="1">
    <w:p w14:paraId="5FF53D33" w14:textId="77777777" w:rsidR="008663EF" w:rsidRDefault="008663EF"/>
  </w:footnote>
  <w:footnote w:id="2">
    <w:p w14:paraId="69E0A164" w14:textId="13555030" w:rsidR="00646595" w:rsidRPr="00222AAB" w:rsidRDefault="00646595" w:rsidP="00646595">
      <w:pPr>
        <w:pStyle w:val="FootnoteText"/>
        <w:rPr>
          <w:rFonts w:cstheme="minorHAnsi"/>
        </w:rPr>
      </w:pPr>
      <w:r>
        <w:rPr>
          <w:rStyle w:val="FootnoteReference"/>
          <w:rFonts w:cstheme="minorHAnsi"/>
        </w:rPr>
        <w:footnoteRef/>
      </w:r>
      <w:r>
        <w:t xml:space="preserve"> Ir-Regolament (UE) Nru 575/2013 tal-Parlament Ewropew u tal-Kunsill tas-26 ta’ Ġunju 2013 dwar ir-rekwiżiti prudenzjali għall-istituzzjonijiet ta’ kreditu u d-ditti tal-investiment u li jemenda r-Regolament (UE) Nru 648/2012, kif emendat bir-Regolament (UE) Nru 2024/1623 </w:t>
      </w:r>
      <w:r>
        <w:rPr>
          <w:color w:val="444444"/>
        </w:rPr>
        <w:t xml:space="preserve">(</w:t>
      </w:r>
      <w:hyperlink r:id="rId1" w:history="1">
        <w:r>
          <w:rPr>
            <w:rStyle w:val="Hyperlink"/>
            <w:color w:val="800080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rPr>
          <w:color w:val="444444"/>
        </w:rPr>
        <w:t xml:space="preserve">)</w:t>
      </w:r>
      <w:r>
        <w:t xml:space="preserve"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A15D" w14:textId="20C158F6" w:rsidR="00646595" w:rsidRDefault="00076BB9">
    <w:pPr>
      <w:pStyle w:val="Header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347EA58B" wp14:editId="3CC706A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577169965" name="Text Box 577169965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C2A57B" w14:textId="1653255F" w:rsidR="00076BB9" w:rsidRPr="00076BB9" w:rsidRDefault="00076BB9" w:rsidP="00076BB9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47EA58B" id="_x0000_t202" coordsize="21600,21600" o:spt="202" path="m,l,21600r21600,l21600,xe">
              <v:stroke joinstyle="miter"/>
              <v:path gradientshapeok="t" o:connecttype="rect"/>
            </v:shapetype>
            <v:shape id="Text Box 577169965" o:spid="_x0000_s1026" type="#_x0000_t202" alt="Title:  - Description: Użu Regolari tal-EBA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0C2A57B" w14:textId="1653255F" w:rsidR="00076BB9" w:rsidRPr="00076BB9" w:rsidRDefault="00076BB9" w:rsidP="00076BB9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A15E" w14:textId="24774E99" w:rsidR="00646595" w:rsidRDefault="00076BB9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0C9B6221" wp14:editId="100F0B11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4114098" name="Text Box 24114098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B022A9" w14:textId="382E7913" w:rsidR="00076BB9" w:rsidRPr="00076BB9" w:rsidRDefault="00076BB9" w:rsidP="00076BB9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C9B6221" id="_x0000_t202" coordsize="21600,21600" o:spt="202" path="m,l,21600r21600,l21600,xe">
              <v:stroke joinstyle="miter"/>
              <v:path gradientshapeok="t" o:connecttype="rect"/>
            </v:shapetype>
            <v:shape id="Text Box 24114098" o:spid="_x0000_s1027" type="#_x0000_t202" alt="Title:  - Description: Użu Regolari tal-EBA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18B022A9" w14:textId="382E7913" w:rsidR="00076BB9" w:rsidRPr="00076BB9" w:rsidRDefault="00076BB9" w:rsidP="00076BB9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A162" w14:textId="2A180684" w:rsidR="00646595" w:rsidRDefault="00076BB9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76BEBC4F" wp14:editId="04691C6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911846403" name="Text Box 91184640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132D97" w14:textId="5FC8B86B" w:rsidR="00076BB9" w:rsidRPr="00076BB9" w:rsidRDefault="00076BB9" w:rsidP="00076BB9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6BEBC4F" id="_x0000_t202" coordsize="21600,21600" o:spt="202" path="m,l,21600r21600,l21600,xe">
              <v:stroke joinstyle="miter"/>
              <v:path gradientshapeok="t" o:connecttype="rect"/>
            </v:shapetype>
            <v:shape id="Text Box 911846403" o:spid="_x0000_s1028" type="#_x0000_t202" alt="Title:  - Description: Użu Regolari tal-EBA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29132D97" w14:textId="5FC8B86B" w:rsidR="00076BB9" w:rsidRPr="00076BB9" w:rsidRDefault="00076BB9" w:rsidP="00076BB9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461225">
    <w:abstractNumId w:val="6"/>
  </w:num>
  <w:num w:numId="2" w16cid:durableId="2137946223">
    <w:abstractNumId w:val="0"/>
  </w:num>
  <w:num w:numId="3" w16cid:durableId="2133358523">
    <w:abstractNumId w:val="3"/>
  </w:num>
  <w:num w:numId="4" w16cid:durableId="468088411">
    <w:abstractNumId w:val="4"/>
  </w:num>
  <w:num w:numId="5" w16cid:durableId="538667284">
    <w:abstractNumId w:val="2"/>
  </w:num>
  <w:num w:numId="6" w16cid:durableId="861942462">
    <w:abstractNumId w:val="5"/>
  </w:num>
  <w:num w:numId="7" w16cid:durableId="398600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218C4"/>
    <w:rsid w:val="000305D0"/>
    <w:rsid w:val="00053B1E"/>
    <w:rsid w:val="00060DD9"/>
    <w:rsid w:val="000620BD"/>
    <w:rsid w:val="00063605"/>
    <w:rsid w:val="0007653B"/>
    <w:rsid w:val="00076BB9"/>
    <w:rsid w:val="000C556C"/>
    <w:rsid w:val="000F4AA2"/>
    <w:rsid w:val="0015423D"/>
    <w:rsid w:val="001769C9"/>
    <w:rsid w:val="00192053"/>
    <w:rsid w:val="001CBA06"/>
    <w:rsid w:val="001E11E0"/>
    <w:rsid w:val="00203F2E"/>
    <w:rsid w:val="00215C28"/>
    <w:rsid w:val="00221920"/>
    <w:rsid w:val="002312DE"/>
    <w:rsid w:val="00241128"/>
    <w:rsid w:val="002422C8"/>
    <w:rsid w:val="002603AF"/>
    <w:rsid w:val="002B7F3A"/>
    <w:rsid w:val="002C6168"/>
    <w:rsid w:val="002D2FF1"/>
    <w:rsid w:val="003116BB"/>
    <w:rsid w:val="00370C72"/>
    <w:rsid w:val="00452EAE"/>
    <w:rsid w:val="0045337F"/>
    <w:rsid w:val="00483611"/>
    <w:rsid w:val="004953EB"/>
    <w:rsid w:val="004A0F15"/>
    <w:rsid w:val="004B7BC8"/>
    <w:rsid w:val="004C2012"/>
    <w:rsid w:val="004E3F4D"/>
    <w:rsid w:val="00506F6E"/>
    <w:rsid w:val="0051479C"/>
    <w:rsid w:val="005151AF"/>
    <w:rsid w:val="005419FA"/>
    <w:rsid w:val="00545D8B"/>
    <w:rsid w:val="00570E3F"/>
    <w:rsid w:val="00590501"/>
    <w:rsid w:val="00590640"/>
    <w:rsid w:val="005F0209"/>
    <w:rsid w:val="00646595"/>
    <w:rsid w:val="006A714E"/>
    <w:rsid w:val="006E1E05"/>
    <w:rsid w:val="006E679B"/>
    <w:rsid w:val="00715772"/>
    <w:rsid w:val="007369C3"/>
    <w:rsid w:val="007717F5"/>
    <w:rsid w:val="0079094A"/>
    <w:rsid w:val="007975AA"/>
    <w:rsid w:val="007B5B15"/>
    <w:rsid w:val="007C100B"/>
    <w:rsid w:val="007D0E58"/>
    <w:rsid w:val="007F2917"/>
    <w:rsid w:val="007F2EA5"/>
    <w:rsid w:val="008663EF"/>
    <w:rsid w:val="00881977"/>
    <w:rsid w:val="008871B0"/>
    <w:rsid w:val="008F11A5"/>
    <w:rsid w:val="0091769B"/>
    <w:rsid w:val="009346C3"/>
    <w:rsid w:val="009540FF"/>
    <w:rsid w:val="00982053"/>
    <w:rsid w:val="0098414D"/>
    <w:rsid w:val="00986D95"/>
    <w:rsid w:val="009B3C4B"/>
    <w:rsid w:val="009C42A8"/>
    <w:rsid w:val="009C7F45"/>
    <w:rsid w:val="009E0F55"/>
    <w:rsid w:val="009E4FF5"/>
    <w:rsid w:val="009F3999"/>
    <w:rsid w:val="009F5CB5"/>
    <w:rsid w:val="00A52381"/>
    <w:rsid w:val="00A77AAC"/>
    <w:rsid w:val="00A861DE"/>
    <w:rsid w:val="00AF1F61"/>
    <w:rsid w:val="00B20CE2"/>
    <w:rsid w:val="00B27A33"/>
    <w:rsid w:val="00B2A15F"/>
    <w:rsid w:val="00B32E7D"/>
    <w:rsid w:val="00B95B76"/>
    <w:rsid w:val="00BB6771"/>
    <w:rsid w:val="00BD3DBE"/>
    <w:rsid w:val="00BE76A1"/>
    <w:rsid w:val="00C157DA"/>
    <w:rsid w:val="00C32553"/>
    <w:rsid w:val="00C41CC6"/>
    <w:rsid w:val="00CF2E1B"/>
    <w:rsid w:val="00D05462"/>
    <w:rsid w:val="00D1220E"/>
    <w:rsid w:val="00D218C4"/>
    <w:rsid w:val="00D27E2B"/>
    <w:rsid w:val="00E0787F"/>
    <w:rsid w:val="00E30F99"/>
    <w:rsid w:val="00E43600"/>
    <w:rsid w:val="00E87CE2"/>
    <w:rsid w:val="00E9371F"/>
    <w:rsid w:val="00EC7785"/>
    <w:rsid w:val="00ED15FA"/>
    <w:rsid w:val="00FF319B"/>
    <w:rsid w:val="0138F7F9"/>
    <w:rsid w:val="0142DCC9"/>
    <w:rsid w:val="0142F1DA"/>
    <w:rsid w:val="0184FD56"/>
    <w:rsid w:val="019D0503"/>
    <w:rsid w:val="02403A35"/>
    <w:rsid w:val="02A73E64"/>
    <w:rsid w:val="02CF95C1"/>
    <w:rsid w:val="02E525D7"/>
    <w:rsid w:val="02EC1E19"/>
    <w:rsid w:val="0327E745"/>
    <w:rsid w:val="0360F357"/>
    <w:rsid w:val="036EF3D6"/>
    <w:rsid w:val="03CC490E"/>
    <w:rsid w:val="04169110"/>
    <w:rsid w:val="0422A770"/>
    <w:rsid w:val="04385E2E"/>
    <w:rsid w:val="0440D4EB"/>
    <w:rsid w:val="04642C3D"/>
    <w:rsid w:val="04EFB5E4"/>
    <w:rsid w:val="04EFCC0A"/>
    <w:rsid w:val="05129BF4"/>
    <w:rsid w:val="05770F27"/>
    <w:rsid w:val="0593CAA0"/>
    <w:rsid w:val="05A21464"/>
    <w:rsid w:val="05CBCB83"/>
    <w:rsid w:val="05DA4EB8"/>
    <w:rsid w:val="05FC95AE"/>
    <w:rsid w:val="064B6EF6"/>
    <w:rsid w:val="0651942F"/>
    <w:rsid w:val="065F8807"/>
    <w:rsid w:val="06EBDA0E"/>
    <w:rsid w:val="07312319"/>
    <w:rsid w:val="07500A5B"/>
    <w:rsid w:val="08276CCC"/>
    <w:rsid w:val="083D7DAC"/>
    <w:rsid w:val="08C151C4"/>
    <w:rsid w:val="08F968D0"/>
    <w:rsid w:val="0924D74C"/>
    <w:rsid w:val="09454EE8"/>
    <w:rsid w:val="095DB3C0"/>
    <w:rsid w:val="09704CB0"/>
    <w:rsid w:val="097E006C"/>
    <w:rsid w:val="0990CCF9"/>
    <w:rsid w:val="09FD9002"/>
    <w:rsid w:val="0A11469C"/>
    <w:rsid w:val="0A9C4541"/>
    <w:rsid w:val="0AB33410"/>
    <w:rsid w:val="0B01C814"/>
    <w:rsid w:val="0B0A4A61"/>
    <w:rsid w:val="0B5923F8"/>
    <w:rsid w:val="0B9811E7"/>
    <w:rsid w:val="0BBC8FC2"/>
    <w:rsid w:val="0BBD71F1"/>
    <w:rsid w:val="0BF01A33"/>
    <w:rsid w:val="0C36E508"/>
    <w:rsid w:val="0C513C8C"/>
    <w:rsid w:val="0CAAE002"/>
    <w:rsid w:val="0CCB1DE6"/>
    <w:rsid w:val="0D0564DF"/>
    <w:rsid w:val="0D43D412"/>
    <w:rsid w:val="0E1170CC"/>
    <w:rsid w:val="0E1F97F6"/>
    <w:rsid w:val="0E242AA1"/>
    <w:rsid w:val="0E30E721"/>
    <w:rsid w:val="0E32D50B"/>
    <w:rsid w:val="0E71DD3E"/>
    <w:rsid w:val="0F18D824"/>
    <w:rsid w:val="0F4A3BFE"/>
    <w:rsid w:val="0FC7796D"/>
    <w:rsid w:val="0FCE3A63"/>
    <w:rsid w:val="0FF98AA4"/>
    <w:rsid w:val="10090389"/>
    <w:rsid w:val="1087DBC3"/>
    <w:rsid w:val="10942032"/>
    <w:rsid w:val="11268AFA"/>
    <w:rsid w:val="112DF0F3"/>
    <w:rsid w:val="11525AE8"/>
    <w:rsid w:val="1170C545"/>
    <w:rsid w:val="117136ED"/>
    <w:rsid w:val="11760A45"/>
    <w:rsid w:val="117A1E09"/>
    <w:rsid w:val="1196370D"/>
    <w:rsid w:val="11C70B1C"/>
    <w:rsid w:val="1217925F"/>
    <w:rsid w:val="12228048"/>
    <w:rsid w:val="1231F9BB"/>
    <w:rsid w:val="12C26C41"/>
    <w:rsid w:val="12DFC571"/>
    <w:rsid w:val="1319A6FD"/>
    <w:rsid w:val="134B5660"/>
    <w:rsid w:val="1391B77A"/>
    <w:rsid w:val="13A3C500"/>
    <w:rsid w:val="13B98286"/>
    <w:rsid w:val="13CADC1F"/>
    <w:rsid w:val="13F6DB9F"/>
    <w:rsid w:val="140B09A4"/>
    <w:rsid w:val="1447B6A2"/>
    <w:rsid w:val="145E3CA2"/>
    <w:rsid w:val="1480B250"/>
    <w:rsid w:val="14E9D66B"/>
    <w:rsid w:val="150CE076"/>
    <w:rsid w:val="1514FF9C"/>
    <w:rsid w:val="15A03A2B"/>
    <w:rsid w:val="15A57C61"/>
    <w:rsid w:val="1600567B"/>
    <w:rsid w:val="163E4892"/>
    <w:rsid w:val="1654818D"/>
    <w:rsid w:val="16D14E9E"/>
    <w:rsid w:val="1736813F"/>
    <w:rsid w:val="179F2AB5"/>
    <w:rsid w:val="17A00C08"/>
    <w:rsid w:val="17C07D06"/>
    <w:rsid w:val="17D91393"/>
    <w:rsid w:val="17EEAD36"/>
    <w:rsid w:val="184F0C9B"/>
    <w:rsid w:val="1852C05F"/>
    <w:rsid w:val="18602026"/>
    <w:rsid w:val="187B0630"/>
    <w:rsid w:val="1881B2D1"/>
    <w:rsid w:val="18998088"/>
    <w:rsid w:val="18F459A0"/>
    <w:rsid w:val="19A16F87"/>
    <w:rsid w:val="19D102AF"/>
    <w:rsid w:val="19D1BC87"/>
    <w:rsid w:val="1A009ED8"/>
    <w:rsid w:val="1A64CD1E"/>
    <w:rsid w:val="1A709C52"/>
    <w:rsid w:val="1ACB676C"/>
    <w:rsid w:val="1B2BAFC7"/>
    <w:rsid w:val="1B3D3FE8"/>
    <w:rsid w:val="1BC9DE10"/>
    <w:rsid w:val="1BD40889"/>
    <w:rsid w:val="1BFCF32C"/>
    <w:rsid w:val="1C14705A"/>
    <w:rsid w:val="1C1EC2E4"/>
    <w:rsid w:val="1C5034B2"/>
    <w:rsid w:val="1C569162"/>
    <w:rsid w:val="1CD91049"/>
    <w:rsid w:val="1CE796B8"/>
    <w:rsid w:val="1D7B7D9A"/>
    <w:rsid w:val="1E6B908D"/>
    <w:rsid w:val="1E6C6938"/>
    <w:rsid w:val="1F1530E5"/>
    <w:rsid w:val="1F19910E"/>
    <w:rsid w:val="1F4ABBCC"/>
    <w:rsid w:val="1F4C6324"/>
    <w:rsid w:val="1F6D9D1E"/>
    <w:rsid w:val="1FAF646F"/>
    <w:rsid w:val="1FCB8EEB"/>
    <w:rsid w:val="1FD105C3"/>
    <w:rsid w:val="1FEBCF48"/>
    <w:rsid w:val="20029E3F"/>
    <w:rsid w:val="205BEB06"/>
    <w:rsid w:val="2069E90C"/>
    <w:rsid w:val="20B62989"/>
    <w:rsid w:val="21305B73"/>
    <w:rsid w:val="2191F260"/>
    <w:rsid w:val="2214284F"/>
    <w:rsid w:val="226E68CB"/>
    <w:rsid w:val="226F8F8C"/>
    <w:rsid w:val="2272CD2B"/>
    <w:rsid w:val="228A2FF6"/>
    <w:rsid w:val="22FB05B9"/>
    <w:rsid w:val="2336DFD8"/>
    <w:rsid w:val="237665BE"/>
    <w:rsid w:val="23D132A3"/>
    <w:rsid w:val="23D1B610"/>
    <w:rsid w:val="23E5826D"/>
    <w:rsid w:val="2415A112"/>
    <w:rsid w:val="2469E84E"/>
    <w:rsid w:val="246BBB52"/>
    <w:rsid w:val="2498C8C2"/>
    <w:rsid w:val="24BC03DC"/>
    <w:rsid w:val="24D6C7B2"/>
    <w:rsid w:val="24FFC12D"/>
    <w:rsid w:val="2550F8F8"/>
    <w:rsid w:val="2574E2AF"/>
    <w:rsid w:val="25AC93DE"/>
    <w:rsid w:val="25AE00E3"/>
    <w:rsid w:val="25B17173"/>
    <w:rsid w:val="25D960AB"/>
    <w:rsid w:val="25E3AA97"/>
    <w:rsid w:val="26897FD7"/>
    <w:rsid w:val="27996775"/>
    <w:rsid w:val="280A03CD"/>
    <w:rsid w:val="281F3496"/>
    <w:rsid w:val="28A91172"/>
    <w:rsid w:val="295141D8"/>
    <w:rsid w:val="2A2F4FA7"/>
    <w:rsid w:val="2A411A42"/>
    <w:rsid w:val="2A763314"/>
    <w:rsid w:val="2A8D929C"/>
    <w:rsid w:val="2AB030C3"/>
    <w:rsid w:val="2B3EF6D8"/>
    <w:rsid w:val="2B41A984"/>
    <w:rsid w:val="2BCC088D"/>
    <w:rsid w:val="2C6B2EA7"/>
    <w:rsid w:val="2C7E5109"/>
    <w:rsid w:val="2C8D49D4"/>
    <w:rsid w:val="2CB4B0B5"/>
    <w:rsid w:val="2CF42EA5"/>
    <w:rsid w:val="2D0FC5BC"/>
    <w:rsid w:val="2DEE134E"/>
    <w:rsid w:val="2E0DE66F"/>
    <w:rsid w:val="2E33EC8A"/>
    <w:rsid w:val="2F063732"/>
    <w:rsid w:val="2F0834E6"/>
    <w:rsid w:val="2F17A3DA"/>
    <w:rsid w:val="2F65B3BC"/>
    <w:rsid w:val="2F71DB50"/>
    <w:rsid w:val="2FE9A03B"/>
    <w:rsid w:val="2FECC750"/>
    <w:rsid w:val="2FEEFC5B"/>
    <w:rsid w:val="2FF9653C"/>
    <w:rsid w:val="30140D22"/>
    <w:rsid w:val="301BA3CD"/>
    <w:rsid w:val="307E0657"/>
    <w:rsid w:val="30D7EDAC"/>
    <w:rsid w:val="30D853F8"/>
    <w:rsid w:val="311E1355"/>
    <w:rsid w:val="3148AC18"/>
    <w:rsid w:val="3154C087"/>
    <w:rsid w:val="3172D51F"/>
    <w:rsid w:val="31AF586F"/>
    <w:rsid w:val="31B38164"/>
    <w:rsid w:val="320C55F4"/>
    <w:rsid w:val="321B8314"/>
    <w:rsid w:val="321C498A"/>
    <w:rsid w:val="322D000F"/>
    <w:rsid w:val="322D93DF"/>
    <w:rsid w:val="3283CA02"/>
    <w:rsid w:val="32AE092B"/>
    <w:rsid w:val="32B8F9D9"/>
    <w:rsid w:val="32D83549"/>
    <w:rsid w:val="32DD8786"/>
    <w:rsid w:val="3300987A"/>
    <w:rsid w:val="331A56E0"/>
    <w:rsid w:val="332A8E4E"/>
    <w:rsid w:val="3353DFDA"/>
    <w:rsid w:val="3433B262"/>
    <w:rsid w:val="344D7C16"/>
    <w:rsid w:val="3477A9FC"/>
    <w:rsid w:val="3497B91E"/>
    <w:rsid w:val="3514A0E6"/>
    <w:rsid w:val="359838F5"/>
    <w:rsid w:val="35987358"/>
    <w:rsid w:val="35CF82C3"/>
    <w:rsid w:val="35E341C6"/>
    <w:rsid w:val="35FE4DB3"/>
    <w:rsid w:val="3625F11A"/>
    <w:rsid w:val="368662C3"/>
    <w:rsid w:val="36FC75C4"/>
    <w:rsid w:val="37051978"/>
    <w:rsid w:val="371ED979"/>
    <w:rsid w:val="37A3600D"/>
    <w:rsid w:val="3805ECF7"/>
    <w:rsid w:val="381F9A97"/>
    <w:rsid w:val="384D996F"/>
    <w:rsid w:val="38513A7B"/>
    <w:rsid w:val="390DAD8D"/>
    <w:rsid w:val="391067E4"/>
    <w:rsid w:val="392274F8"/>
    <w:rsid w:val="394908F0"/>
    <w:rsid w:val="395B1FCB"/>
    <w:rsid w:val="396A3A9A"/>
    <w:rsid w:val="39E3D28F"/>
    <w:rsid w:val="39E8DD52"/>
    <w:rsid w:val="3A3BA6FF"/>
    <w:rsid w:val="3AB9B14A"/>
    <w:rsid w:val="3AD55100"/>
    <w:rsid w:val="3B04E07F"/>
    <w:rsid w:val="3B1EE2A1"/>
    <w:rsid w:val="3B26D917"/>
    <w:rsid w:val="3B35A033"/>
    <w:rsid w:val="3B4755AF"/>
    <w:rsid w:val="3BE688E6"/>
    <w:rsid w:val="3C079FE3"/>
    <w:rsid w:val="3C210B89"/>
    <w:rsid w:val="3C465FB2"/>
    <w:rsid w:val="3CE905D1"/>
    <w:rsid w:val="3D43AA7B"/>
    <w:rsid w:val="3DA223D6"/>
    <w:rsid w:val="3DE06331"/>
    <w:rsid w:val="3E25A999"/>
    <w:rsid w:val="3E8CE467"/>
    <w:rsid w:val="3E972AE9"/>
    <w:rsid w:val="3EA49450"/>
    <w:rsid w:val="3EFA880E"/>
    <w:rsid w:val="3F82ADBD"/>
    <w:rsid w:val="3FF7D67F"/>
    <w:rsid w:val="4000132E"/>
    <w:rsid w:val="402505A9"/>
    <w:rsid w:val="405376B6"/>
    <w:rsid w:val="40555ACD"/>
    <w:rsid w:val="405A870B"/>
    <w:rsid w:val="405ED645"/>
    <w:rsid w:val="40D27115"/>
    <w:rsid w:val="41015F60"/>
    <w:rsid w:val="41635CB4"/>
    <w:rsid w:val="41C8FC33"/>
    <w:rsid w:val="423B2541"/>
    <w:rsid w:val="427646F6"/>
    <w:rsid w:val="42FF7E15"/>
    <w:rsid w:val="43A6D80A"/>
    <w:rsid w:val="43B7BE0A"/>
    <w:rsid w:val="43C7D6AB"/>
    <w:rsid w:val="43F85586"/>
    <w:rsid w:val="440A11D7"/>
    <w:rsid w:val="447699C0"/>
    <w:rsid w:val="448D012B"/>
    <w:rsid w:val="449F0249"/>
    <w:rsid w:val="44CE7828"/>
    <w:rsid w:val="45291AF5"/>
    <w:rsid w:val="45404A9E"/>
    <w:rsid w:val="458D4973"/>
    <w:rsid w:val="45A5E238"/>
    <w:rsid w:val="461A50DA"/>
    <w:rsid w:val="4628D18C"/>
    <w:rsid w:val="464CCA0B"/>
    <w:rsid w:val="4675A893"/>
    <w:rsid w:val="46804060"/>
    <w:rsid w:val="4683E1AD"/>
    <w:rsid w:val="46D790B1"/>
    <w:rsid w:val="46DFA0A5"/>
    <w:rsid w:val="475A7A3F"/>
    <w:rsid w:val="476612D2"/>
    <w:rsid w:val="478A0B94"/>
    <w:rsid w:val="479E05B2"/>
    <w:rsid w:val="47C4A1ED"/>
    <w:rsid w:val="47E73D5A"/>
    <w:rsid w:val="47F5C4DF"/>
    <w:rsid w:val="484E7583"/>
    <w:rsid w:val="4860AE43"/>
    <w:rsid w:val="4875EB98"/>
    <w:rsid w:val="487FFC67"/>
    <w:rsid w:val="48A6FDB3"/>
    <w:rsid w:val="495CA4A0"/>
    <w:rsid w:val="4960724E"/>
    <w:rsid w:val="4A258855"/>
    <w:rsid w:val="4A509453"/>
    <w:rsid w:val="4A5868C9"/>
    <w:rsid w:val="4A90C8F0"/>
    <w:rsid w:val="4AC79825"/>
    <w:rsid w:val="4B30A508"/>
    <w:rsid w:val="4CB16108"/>
    <w:rsid w:val="4CEF81E4"/>
    <w:rsid w:val="4D21DEB8"/>
    <w:rsid w:val="4D862291"/>
    <w:rsid w:val="4DB0F41D"/>
    <w:rsid w:val="4DBA8E09"/>
    <w:rsid w:val="4E7BC720"/>
    <w:rsid w:val="4E8D58A4"/>
    <w:rsid w:val="4E9CB5E0"/>
    <w:rsid w:val="4ECBFC1D"/>
    <w:rsid w:val="4F2BC408"/>
    <w:rsid w:val="4F54B204"/>
    <w:rsid w:val="4FBA2F59"/>
    <w:rsid w:val="4FC24F1F"/>
    <w:rsid w:val="500060C5"/>
    <w:rsid w:val="50172778"/>
    <w:rsid w:val="5038134B"/>
    <w:rsid w:val="503DCFEF"/>
    <w:rsid w:val="50516A15"/>
    <w:rsid w:val="5069E812"/>
    <w:rsid w:val="5087ADD2"/>
    <w:rsid w:val="50F08265"/>
    <w:rsid w:val="517F0D3A"/>
    <w:rsid w:val="51C5D4F8"/>
    <w:rsid w:val="51CFADB1"/>
    <w:rsid w:val="51E37E85"/>
    <w:rsid w:val="51EBA8F3"/>
    <w:rsid w:val="52035871"/>
    <w:rsid w:val="52305D64"/>
    <w:rsid w:val="523FEC55"/>
    <w:rsid w:val="52B4EF45"/>
    <w:rsid w:val="52B7171B"/>
    <w:rsid w:val="5304730B"/>
    <w:rsid w:val="531D5933"/>
    <w:rsid w:val="5365D243"/>
    <w:rsid w:val="5386C097"/>
    <w:rsid w:val="538DDE7E"/>
    <w:rsid w:val="53A20E35"/>
    <w:rsid w:val="53B533A2"/>
    <w:rsid w:val="53F822EC"/>
    <w:rsid w:val="54838AEB"/>
    <w:rsid w:val="54847755"/>
    <w:rsid w:val="54A20538"/>
    <w:rsid w:val="54F18E7F"/>
    <w:rsid w:val="551E86D4"/>
    <w:rsid w:val="555AF22C"/>
    <w:rsid w:val="557ABE3E"/>
    <w:rsid w:val="55F72ACD"/>
    <w:rsid w:val="55F90AF8"/>
    <w:rsid w:val="5616FE20"/>
    <w:rsid w:val="56181EF2"/>
    <w:rsid w:val="56351AC4"/>
    <w:rsid w:val="563A370C"/>
    <w:rsid w:val="565D3025"/>
    <w:rsid w:val="56786BC8"/>
    <w:rsid w:val="56788F4F"/>
    <w:rsid w:val="56A46653"/>
    <w:rsid w:val="56A5CE22"/>
    <w:rsid w:val="56A6A5D4"/>
    <w:rsid w:val="56A91DFF"/>
    <w:rsid w:val="56BC1691"/>
    <w:rsid w:val="56C4249D"/>
    <w:rsid w:val="56D664ED"/>
    <w:rsid w:val="56DA5486"/>
    <w:rsid w:val="57249A1F"/>
    <w:rsid w:val="575FC3E9"/>
    <w:rsid w:val="5767DBA2"/>
    <w:rsid w:val="57B08DB1"/>
    <w:rsid w:val="57BEF2D0"/>
    <w:rsid w:val="57DC52DD"/>
    <w:rsid w:val="57FDE861"/>
    <w:rsid w:val="5844EE60"/>
    <w:rsid w:val="584538BF"/>
    <w:rsid w:val="586CA796"/>
    <w:rsid w:val="588E9A12"/>
    <w:rsid w:val="58920849"/>
    <w:rsid w:val="58BDCF23"/>
    <w:rsid w:val="591F3903"/>
    <w:rsid w:val="59453953"/>
    <w:rsid w:val="5998152F"/>
    <w:rsid w:val="59AA2769"/>
    <w:rsid w:val="59BB3AF4"/>
    <w:rsid w:val="59C73853"/>
    <w:rsid w:val="59C9DD83"/>
    <w:rsid w:val="59D32321"/>
    <w:rsid w:val="59EEAC07"/>
    <w:rsid w:val="5A074186"/>
    <w:rsid w:val="5A439729"/>
    <w:rsid w:val="5A8F7725"/>
    <w:rsid w:val="5AA3076C"/>
    <w:rsid w:val="5B177B50"/>
    <w:rsid w:val="5B58556A"/>
    <w:rsid w:val="5B657632"/>
    <w:rsid w:val="5B692631"/>
    <w:rsid w:val="5B7CFBA0"/>
    <w:rsid w:val="5B886B49"/>
    <w:rsid w:val="5BCC7008"/>
    <w:rsid w:val="5BDB6F3A"/>
    <w:rsid w:val="5C6556F3"/>
    <w:rsid w:val="5C82327B"/>
    <w:rsid w:val="5CC57F41"/>
    <w:rsid w:val="5CE7B18C"/>
    <w:rsid w:val="5D322E7B"/>
    <w:rsid w:val="5D32BC53"/>
    <w:rsid w:val="5D426DCA"/>
    <w:rsid w:val="5D6C4EBC"/>
    <w:rsid w:val="5D72D10E"/>
    <w:rsid w:val="5E115500"/>
    <w:rsid w:val="5E1BABCF"/>
    <w:rsid w:val="5E5898D6"/>
    <w:rsid w:val="5E5AA49C"/>
    <w:rsid w:val="5E9D3914"/>
    <w:rsid w:val="5EE618B1"/>
    <w:rsid w:val="5EE68FC3"/>
    <w:rsid w:val="5F2C6B27"/>
    <w:rsid w:val="5F51DAE3"/>
    <w:rsid w:val="5F914757"/>
    <w:rsid w:val="600EDCD1"/>
    <w:rsid w:val="6010BDCD"/>
    <w:rsid w:val="6062D52F"/>
    <w:rsid w:val="60FEB8A9"/>
    <w:rsid w:val="614ED518"/>
    <w:rsid w:val="6192C729"/>
    <w:rsid w:val="6253E6BA"/>
    <w:rsid w:val="63515164"/>
    <w:rsid w:val="63881709"/>
    <w:rsid w:val="641FC896"/>
    <w:rsid w:val="64EC7310"/>
    <w:rsid w:val="650CBA52"/>
    <w:rsid w:val="6516457C"/>
    <w:rsid w:val="6598983C"/>
    <w:rsid w:val="661546DD"/>
    <w:rsid w:val="662E1A6A"/>
    <w:rsid w:val="669F0C3C"/>
    <w:rsid w:val="67760DB4"/>
    <w:rsid w:val="678DEE88"/>
    <w:rsid w:val="6798D806"/>
    <w:rsid w:val="680A46A3"/>
    <w:rsid w:val="685FBD3F"/>
    <w:rsid w:val="68BF1DE7"/>
    <w:rsid w:val="68F48243"/>
    <w:rsid w:val="68F59922"/>
    <w:rsid w:val="692D89CE"/>
    <w:rsid w:val="6947D183"/>
    <w:rsid w:val="698F624E"/>
    <w:rsid w:val="6A0D0479"/>
    <w:rsid w:val="6A41BB97"/>
    <w:rsid w:val="6AE03A50"/>
    <w:rsid w:val="6B46D600"/>
    <w:rsid w:val="6B47190C"/>
    <w:rsid w:val="6B7CBE0A"/>
    <w:rsid w:val="6C1FD3FC"/>
    <w:rsid w:val="6CDF2130"/>
    <w:rsid w:val="6D3E041B"/>
    <w:rsid w:val="6D781ED6"/>
    <w:rsid w:val="6DD2F937"/>
    <w:rsid w:val="6DDD3BB1"/>
    <w:rsid w:val="6EECDCD1"/>
    <w:rsid w:val="6F3887E4"/>
    <w:rsid w:val="6F45D6D1"/>
    <w:rsid w:val="6F790C12"/>
    <w:rsid w:val="6FAE304A"/>
    <w:rsid w:val="706E5BF4"/>
    <w:rsid w:val="70DFE2FE"/>
    <w:rsid w:val="71229C70"/>
    <w:rsid w:val="712B8B25"/>
    <w:rsid w:val="718963DE"/>
    <w:rsid w:val="7190FBFE"/>
    <w:rsid w:val="71C7D743"/>
    <w:rsid w:val="71E0CC30"/>
    <w:rsid w:val="71ED07B8"/>
    <w:rsid w:val="724010C5"/>
    <w:rsid w:val="724C53EE"/>
    <w:rsid w:val="72803E90"/>
    <w:rsid w:val="72A9B3CD"/>
    <w:rsid w:val="72B0ACD4"/>
    <w:rsid w:val="73494E37"/>
    <w:rsid w:val="73F062C2"/>
    <w:rsid w:val="741304A3"/>
    <w:rsid w:val="745C5F53"/>
    <w:rsid w:val="74912031"/>
    <w:rsid w:val="749FF7DA"/>
    <w:rsid w:val="752A8BE8"/>
    <w:rsid w:val="75AE5DAA"/>
    <w:rsid w:val="75B04A66"/>
    <w:rsid w:val="75E84D96"/>
    <w:rsid w:val="75F75B59"/>
    <w:rsid w:val="7669D51A"/>
    <w:rsid w:val="7671F23B"/>
    <w:rsid w:val="76992844"/>
    <w:rsid w:val="772B862B"/>
    <w:rsid w:val="77537DA9"/>
    <w:rsid w:val="77736040"/>
    <w:rsid w:val="7787E1ED"/>
    <w:rsid w:val="77CCD937"/>
    <w:rsid w:val="784D4148"/>
    <w:rsid w:val="78578FC0"/>
    <w:rsid w:val="787A92DD"/>
    <w:rsid w:val="78B85ECE"/>
    <w:rsid w:val="790B1479"/>
    <w:rsid w:val="7949D84C"/>
    <w:rsid w:val="796F00D1"/>
    <w:rsid w:val="797368FD"/>
    <w:rsid w:val="79EAC775"/>
    <w:rsid w:val="7A450E9B"/>
    <w:rsid w:val="7A68C85B"/>
    <w:rsid w:val="7A70F8B2"/>
    <w:rsid w:val="7AC31ADB"/>
    <w:rsid w:val="7ACD0474"/>
    <w:rsid w:val="7B0A436E"/>
    <w:rsid w:val="7B576785"/>
    <w:rsid w:val="7BC28CC3"/>
    <w:rsid w:val="7BCFEC7D"/>
    <w:rsid w:val="7BEAE566"/>
    <w:rsid w:val="7C0D1F73"/>
    <w:rsid w:val="7C13C71B"/>
    <w:rsid w:val="7C4E41C9"/>
    <w:rsid w:val="7C75C5F5"/>
    <w:rsid w:val="7C79FD6F"/>
    <w:rsid w:val="7CC962FF"/>
    <w:rsid w:val="7CE6747B"/>
    <w:rsid w:val="7D0F5F49"/>
    <w:rsid w:val="7D20B26B"/>
    <w:rsid w:val="7D381FC6"/>
    <w:rsid w:val="7D411460"/>
    <w:rsid w:val="7D5608B0"/>
    <w:rsid w:val="7D61D929"/>
    <w:rsid w:val="7D6BDE05"/>
    <w:rsid w:val="7D921C8F"/>
    <w:rsid w:val="7DD065D0"/>
    <w:rsid w:val="7DD9DC50"/>
    <w:rsid w:val="7E1BB2CE"/>
    <w:rsid w:val="7E9E5B3D"/>
    <w:rsid w:val="7ED5807F"/>
    <w:rsid w:val="7EE2DCF3"/>
    <w:rsid w:val="7EFC9013"/>
    <w:rsid w:val="7F448859"/>
    <w:rsid w:val="7F6FB0DB"/>
    <w:rsid w:val="7FA081F7"/>
    <w:rsid w:val="7FB5D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69E09F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59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646595"/>
    <w:pPr>
      <w:spacing w:before="80" w:line="200" w:lineRule="exact"/>
      <w:ind w:left="567" w:hanging="567"/>
      <w:jc w:val="both"/>
    </w:pPr>
    <w:rPr>
      <w:sz w:val="18"/>
      <w:szCs w:val="18"/>
      <w:lang w:val="mt-MT"/>
    </w:rPr>
  </w:style>
  <w:style w:type="character" w:customStyle="1" w:styleId="FootnoteTextChar">
    <w:name w:val="Footnote Text Char"/>
    <w:basedOn w:val="DefaultParagraphFont"/>
    <w:link w:val="FootnoteText"/>
    <w:rsid w:val="00646595"/>
    <w:rPr>
      <w:rFonts w:eastAsiaTheme="minorEastAsia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64659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64659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64659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Normal"/>
    <w:rsid w:val="00646595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646595"/>
    <w:pPr>
      <w:ind w:left="720"/>
    </w:pPr>
    <w:rPr>
      <w:rFonts w:ascii="Calibri" w:eastAsia="Calibri" w:hAnsi="Calibri" w:cs="Times New Roman"/>
      <w:szCs w:val="22"/>
    </w:rPr>
  </w:style>
  <w:style w:type="character" w:customStyle="1" w:styleId="TeksttreciPogrubienie">
    <w:name w:val="Tekst treści + Pogrubienie"/>
    <w:basedOn w:val="DefaultParagraphFont"/>
    <w:rsid w:val="0064659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mt-MT"/>
    </w:rPr>
  </w:style>
  <w:style w:type="character" w:customStyle="1" w:styleId="Teksttreci">
    <w:name w:val="Tekst treści_"/>
    <w:basedOn w:val="DefaultParagraphFont"/>
    <w:link w:val="Teksttreci0"/>
    <w:rsid w:val="00646595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646595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</w:rPr>
  </w:style>
  <w:style w:type="character" w:customStyle="1" w:styleId="Teksttreci2">
    <w:name w:val="Tekst treści (2)_"/>
    <w:basedOn w:val="DefaultParagraphFont"/>
    <w:link w:val="Teksttreci20"/>
    <w:rsid w:val="0064659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64659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Nagwek1">
    <w:name w:val="Nagłówek #1_"/>
    <w:basedOn w:val="DefaultParagraphFont"/>
    <w:link w:val="Nagwek10"/>
    <w:rsid w:val="0064659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64659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</w:rPr>
  </w:style>
  <w:style w:type="character" w:customStyle="1" w:styleId="DeltaViewInsertion">
    <w:name w:val="DeltaView Insertion"/>
    <w:uiPriority w:val="99"/>
    <w:rsid w:val="00646595"/>
    <w:rPr>
      <w:b/>
      <w:i/>
      <w:color w:val="00C000"/>
    </w:rPr>
  </w:style>
  <w:style w:type="paragraph" w:customStyle="1" w:styleId="BodyText1">
    <w:name w:val="Body Text1"/>
    <w:basedOn w:val="Normal"/>
    <w:qFormat/>
    <w:rsid w:val="0064659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65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59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6465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595"/>
    <w:rPr>
      <w:rFonts w:eastAsiaTheme="minorEastAsia"/>
      <w:szCs w:val="24"/>
    </w:rPr>
  </w:style>
  <w:style w:type="paragraph" w:styleId="Revision">
    <w:name w:val="Revision"/>
    <w:hidden/>
    <w:uiPriority w:val="99"/>
    <w:semiHidden/>
    <w:rsid w:val="00076BB9"/>
    <w:pPr>
      <w:spacing w:after="0" w:line="240" w:lineRule="auto"/>
    </w:pPr>
    <w:rPr>
      <w:rFonts w:eastAsiaTheme="minorEastAsia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2F4002-46E1-4C7D-A2B5-078D09A5B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A970E7-9AA9-4152-B74A-3BA0C368AFAC}"/>
</file>

<file path=customXml/itemProps3.xml><?xml version="1.0" encoding="utf-8"?>
<ds:datastoreItem xmlns:ds="http://schemas.openxmlformats.org/officeDocument/2006/customXml" ds:itemID="{2970542F-D8CB-41E4-A3A6-CB90967A15FD}"/>
</file>

<file path=customXml/itemProps4.xml><?xml version="1.0" encoding="utf-8"?>
<ds:datastoreItem xmlns:ds="http://schemas.openxmlformats.org/officeDocument/2006/customXml" ds:itemID="{29ACAD42-D637-46F6-BF50-5FC5D4420F07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8837</Words>
  <Characters>48957</Characters>
  <Application>Microsoft Office Word</Application>
  <DocSecurity>0</DocSecurity>
  <Lines>1041</Lines>
  <Paragraphs>520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2024-06-06T14:27:00Z</dcterms:created>
  <dcterms:modified xsi:type="dcterms:W3CDTF">2024-09-26T14:26:00Z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2024-09-26T14:26:30Z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76c56b9a-e829-4213-8105-d1ad4b9e01f9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